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5CF5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bottom w:val="single" w:color="auto" w:sz="4" w:space="0"/>
            </w:tcBorders>
            <w:shd w:val="clear" w:color="auto" w:fill="D9D9D9"/>
          </w:tcPr>
          <w:p w14:paraId="7313BC2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rFonts w:hint="eastAsia" w:hAnsi="Arial"/>
                <w:b/>
                <w:sz w:val="24"/>
              </w:rPr>
              <w:t>物料及供应商标识</w:t>
            </w:r>
          </w:p>
        </w:tc>
      </w:tr>
      <w:tr w14:paraId="78CB7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" w:hRule="atLeast"/>
        </w:trPr>
        <w:tc>
          <w:tcPr>
            <w:tcW w:w="3519" w:type="dxa"/>
            <w:tcBorders>
              <w:bottom w:val="dotted" w:color="auto" w:sz="4" w:space="0"/>
              <w:right w:val="dotted" w:color="auto" w:sz="4" w:space="0"/>
            </w:tcBorders>
            <w:vAlign w:val="center"/>
          </w:tcPr>
          <w:p w14:paraId="521EB05A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产品名称：</w:t>
            </w:r>
          </w:p>
        </w:tc>
        <w:tc>
          <w:tcPr>
            <w:tcW w:w="6262" w:type="dxa"/>
            <w:tcBorders>
              <w:left w:val="dotted" w:color="auto" w:sz="4" w:space="0"/>
              <w:bottom w:val="dotted" w:color="auto" w:sz="4" w:space="0"/>
            </w:tcBorders>
            <w:vAlign w:val="center"/>
          </w:tcPr>
          <w:p w14:paraId="1D7000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5771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0F287DF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中文名称：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EE79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羟基丙烯酸分散体 PA-3223</w:t>
            </w:r>
          </w:p>
        </w:tc>
      </w:tr>
      <w:tr w14:paraId="6D1B4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017740E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化学品分类：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8E71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sz w:val="24"/>
                <w:lang w:val="en-US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丙烯酸聚合物分散体</w:t>
            </w:r>
          </w:p>
        </w:tc>
      </w:tr>
      <w:tr w14:paraId="2204C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E4688D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0"/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产品使用建议和使用限制</w:t>
            </w:r>
            <w:r>
              <w:rPr>
                <w:rFonts w:hint="eastAsia" w:hAnsi="Arial"/>
                <w:b/>
                <w:sz w:val="24"/>
                <w:lang w:eastAsia="zh-CN"/>
              </w:rPr>
              <w:t>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4EE8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涂料</w:t>
            </w:r>
          </w:p>
        </w:tc>
      </w:tr>
      <w:tr w14:paraId="46B4D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25BC1F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7" w:leftChars="0" w:hanging="457" w:hangingChars="217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供应商信息：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A4A0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</w:p>
        </w:tc>
      </w:tr>
      <w:tr w14:paraId="0BA7D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6A975A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8" w:leftChars="218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供应商名称：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B02D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宋体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广州冠志新材料科技有限公司</w:t>
            </w:r>
          </w:p>
        </w:tc>
      </w:tr>
      <w:tr w14:paraId="72A8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66903B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firstLine="2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供应商地址：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BFC35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广州市萝岗区科学城掬泉路3号广州国际企业孵化器A区1106室</w:t>
            </w:r>
          </w:p>
        </w:tc>
      </w:tr>
      <w:tr w14:paraId="29EEE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2D9666C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电话：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577C1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86-20-82567990</w:t>
            </w:r>
          </w:p>
        </w:tc>
      </w:tr>
      <w:tr w14:paraId="5D573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50ACE571">
            <w:pPr>
              <w:keepNext w:val="0"/>
              <w:keepLines w:val="0"/>
              <w:pageBreakBefore w:val="0"/>
              <w:widowControl w:val="0"/>
              <w:tabs>
                <w:tab w:val="left" w:pos="459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6" w:leftChars="217" w:right="482" w:firstLine="2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传真：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498C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86-20-32214789</w:t>
            </w:r>
          </w:p>
        </w:tc>
      </w:tr>
    </w:tbl>
    <w:p w14:paraId="5C83CB76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8F53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A47552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2.危险性概述</w:t>
            </w:r>
          </w:p>
        </w:tc>
      </w:tr>
      <w:tr w14:paraId="1BAEF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</w:trPr>
        <w:tc>
          <w:tcPr>
            <w:tcW w:w="9795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  <w:gridSpan w:val="2"/>
          </w:tcPr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GHS危险性类别: 无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羟基丙烯酸酯聚合物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水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丙二醇丁醚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N,N二甲基乙醇胺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商业机密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7732-18-5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5131-66-8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108-01-0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46±5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45.5±5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7±3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1.5±0.5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羟基丙烯酸酯聚合物GHS危险性分类：不适用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请注意以下物质：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N,N-二甲基乙醇胺，中和剂，已键合为盐，质量浓度小于2.0%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GHS分类：依然液体3 H226；急性毒性4 吸入性 H332；急性毒性4 经皮H312；皮肤腐蚀1B H314；特异性靶器官系统毒性（一次接触）3 H335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特定阈值浓度≥5%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特异性靶器官系统毒性（一次接触）3 H335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象形图：无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警告词：警告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危害性说明:没有明显的已知作用或严重危险。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防范说明: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  <w:b/>
              </w:rPr>
              <w:t xml:space="preserve">预防措施：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操作时穿戴必要的防护用品（手套、防护镜、工作服等）。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操作后彻底清洗身体接触部位。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作业场所不得进食，饮水或吸烟。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在室外或通风良好处操作。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  <w:b/>
              </w:rPr>
              <w:t xml:space="preserve">事故响应：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吸入：一旦吸入，如有不适，就医。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眼睛、皮肤接触；使用肥皂、清水等清洗即可。如有不适感，就医。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食入：立即漱口，禁止催吐，立即就医诊治。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泄露：收集泄漏物。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灭火：火灾时，使用干粉、泡沫、二氧化碳灭火。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  <w:b/>
              </w:rPr>
              <w:t xml:space="preserve">安全存储：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请置于避光、阴凉干燥处存放，存储温度应保持在5-35℃，避免霜冻，保持产品包装完整。每次取用之后立即密封，打开包装后尽快使用完毕。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  <w:b/>
              </w:rPr>
              <w:t xml:space="preserve">废弃处置：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使用后的空桶未经无害化处理前，不得存储食物及其他物品，以免对人体、环境造成危害；包装物的回收、利用、处置应符合国家及当地相关法律、法规规定，因包装物处置不当造成的危害及损失，由处置方承担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  <w:b/>
              </w:rPr>
              <w:t xml:space="preserve">物理化学危险：对水体、土壤可造成一定的污染。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  <w:b/>
              </w:rPr>
              <w:t xml:space="preserve">健康危害：无</w:t>
            </w:r>
          </w:p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  <w:b/>
              </w:rPr>
              <w:t xml:space="preserve">环境危害：无危险物质释放，防止进入下水道，以防聚合物沉积阻塞下水道。</w:t>
            </w:r>
          </w:p>
        </w:tc>
      </w:tr>
    </w:tbl>
    <w:p w14:paraId="275245E3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3153"/>
        <w:gridCol w:w="3109"/>
      </w:tblGrid>
      <w:tr w14:paraId="4941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3"/>
            <w:tcBorders>
              <w:bottom w:val="single" w:color="auto" w:sz="4" w:space="0"/>
            </w:tcBorders>
            <w:shd w:val="clear" w:color="auto" w:fill="D9D9D9"/>
          </w:tcPr>
          <w:p w14:paraId="09B5699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3. </w:t>
            </w:r>
            <w:r>
              <w:rPr>
                <w:rFonts w:hint="eastAsia" w:hAnsi="Arial"/>
                <w:b/>
                <w:sz w:val="24"/>
              </w:rPr>
              <w:t>成分</w:t>
            </w:r>
            <w:r>
              <w:rPr>
                <w:b/>
                <w:sz w:val="24"/>
              </w:rPr>
              <w:t>/</w:t>
            </w:r>
            <w:r>
              <w:rPr>
                <w:rFonts w:hint="eastAsia" w:hAnsi="Arial"/>
                <w:b/>
                <w:sz w:val="24"/>
              </w:rPr>
              <w:t>组成资料</w:t>
            </w:r>
          </w:p>
        </w:tc>
      </w:tr>
      <w:tr w14:paraId="1276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519" w:type="dxa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7FC97E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cs="Arial"/>
                <w:b/>
                <w:bCs/>
                <w:kern w:val="0"/>
                <w:sz w:val="24"/>
              </w:rPr>
              <w:t>产品类型：</w:t>
            </w:r>
          </w:p>
        </w:tc>
        <w:tc>
          <w:tcPr>
            <w:tcW w:w="6262" w:type="dxa"/>
            <w:gridSpan w:val="2"/>
            <w:tcBorders>
              <w:top w:val="single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7AD47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混合物</w:t>
            </w:r>
          </w:p>
        </w:tc>
      </w:tr>
      <w:tr w14:paraId="6B5EB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6E75D6">
            <w:pPr>
              <w:keepNext w:val="0"/>
              <w:keepLines w:val="0"/>
              <w:pageBreakBefore w:val="0"/>
              <w:widowControl w:val="0"/>
              <w:numPr>
                <w:ilvl w:val="1"/>
                <w:numId w:val="1"/>
              </w:numPr>
              <w:tabs>
                <w:tab w:val="clear" w:pos="5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59" w:right="34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成分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4C5919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153EE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/>
            </w:r>
          </w:p>
        </w:tc>
      </w:tr>
      <w:tr w14:paraId="1AEA7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15C4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34"/>
              <w:jc w:val="center"/>
              <w:textAlignment w:val="auto"/>
              <w:rPr>
                <w:b/>
                <w:sz w:val="24"/>
                <w:u w:val="single"/>
              </w:rPr>
            </w:pPr>
            <w:r>
              <w:rPr>
                <w:rFonts w:hint="eastAsia"/>
                <w:b/>
                <w:sz w:val="24"/>
                <w:u w:val="single"/>
              </w:rPr>
              <w:t>化学品名称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</w:tcPr>
          <w:p w14:paraId="52A8F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sz w:val="24"/>
                <w:u w:val="single"/>
                <w:b/>
              </w:rPr>
              <w:t>CAS</w:t>
            </w:r>
            <w:r>
              <w:rPr>
                <w:rFonts w:hint="eastAsia"/>
                <w:sz w:val="24"/>
                <w:u w:val="single"/>
                <w:b/>
              </w:rPr>
              <w:t>编号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</w:tcPr>
          <w:p w14:paraId="679A0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  <w:lang w:val="en-US" w:eastAsia="zh-CN"/>
                <w:b/>
              </w:rPr>
              <w:t>含量</w:t>
            </w:r>
            <w:r>
              <w:rPr>
                <w:sz w:val="24"/>
                <w:u w:val="single"/>
                <w:b/>
              </w:rPr>
              <w:t>%</w:t>
            </w:r>
            <w:r>
              <w:rPr>
                <w:rFonts w:hint="eastAsia" w:hAnsi="Arial"/>
                <w:sz w:val="24"/>
                <w:u w:val="single"/>
                <w:b/>
              </w:rPr>
              <w:t>（</w:t>
            </w:r>
            <w:r>
              <w:rPr>
                <w:sz w:val="24"/>
                <w:u w:val="single"/>
                <w:b/>
              </w:rPr>
              <w:t>w/w</w:t>
            </w:r>
            <w:r>
              <w:rPr>
                <w:rFonts w:hint="eastAsia" w:hAnsi="Arial"/>
                <w:sz w:val="24"/>
                <w:u w:val="single"/>
                <w:b/>
              </w:rPr>
              <w:t>）</w:t>
            </w:r>
          </w:p>
        </w:tc>
      </w:tr>
      <w:tr w14:paraId="63E3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8187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羟基丙烯酸酯聚合物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14B4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 w:rightChars="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商业机密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1BED9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46±5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水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7732-18-5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45.5±5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丙二醇丁醚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5131-66-8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7±3</w:t>
            </w:r>
          </w:p>
        </w:tc>
      </w:tr>
      <w:tr w14:paraId="72C9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19" w:type="dxa"/>
            <w:tcBorders>
              <w:top w:val="dotted" w:color="auto" w:sz="4" w:space="0"/>
              <w:left w:val="single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8F19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 w:eastAsia="宋体"/>
                <w:b w:val="0"/>
                <w:bCs w:val="0"/>
                <w:kern w:val="2"/>
                <w:sz w:val="24"/>
                <w:szCs w:val="24"/>
                <w:lang w:val="en-US" w:eastAsia="zh-CN" w:bidi="ar-SA"/>
              </w:rPr>
              <w:t>N,N二甲基乙醇胺</w:t>
            </w:r>
          </w:p>
        </w:tc>
        <w:tc>
          <w:tcPr>
            <w:tcW w:w="3153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67C31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eastAsia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108-01-0</w:t>
            </w:r>
          </w:p>
        </w:tc>
        <w:tc>
          <w:tcPr>
            <w:tcW w:w="3109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482B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right="480"/>
              <w:jc w:val="center"/>
              <w:textAlignment w:val="auto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1.5±0.5</w:t>
            </w:r>
          </w:p>
        </w:tc>
      </w:tr>
    </w:tbl>
    <w:p w14:paraId="0E98C8E0">
      <w:pPr>
        <w:spacing w:line="300" w:lineRule="auto"/>
        <w:ind w:right="480"/>
        <w:rPr>
          <w:sz w:val="24"/>
        </w:rPr>
      </w:pPr>
    </w:p>
    <w:tbl>
      <w:tblPr>
        <w:tblStyle w:val="4"/>
        <w:tblW w:w="9795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76"/>
      </w:tblGrid>
      <w:tr w14:paraId="7CA96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9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316D4642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rFonts w:hint="eastAsia" w:hAnsi="Arial"/>
                <w:b/>
                <w:sz w:val="24"/>
              </w:rPr>
              <w:t>急救措施</w:t>
            </w:r>
          </w:p>
        </w:tc>
      </w:tr>
      <w:tr w14:paraId="79D8A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5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535D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一般措施：</w:t>
            </w:r>
          </w:p>
        </w:tc>
        <w:tc>
          <w:tcPr>
            <w:tcW w:w="6276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606199B6">
            <w:pPr>
              <w:keepNext w:val="0"/>
              <w:spacing w:line="300" w:lineRule="auto"/>
              <w:jc w:val="left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立即脱掉所有被污染的衣物。</w:t>
            </w:r>
          </w:p>
        </w:tc>
      </w:tr>
      <w:tr w14:paraId="4381F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9177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2  </w:t>
            </w:r>
            <w:r>
              <w:rPr>
                <w:rFonts w:hint="eastAsia"/>
                <w:b/>
                <w:sz w:val="24"/>
              </w:rPr>
              <w:t>误服：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4FA4C25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lang w:val="en-US" w:eastAsia="zh-CN"/>
              </w:rPr>
              <w:t>禁止催吐，须就医。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3DA6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821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3  </w:t>
            </w:r>
            <w:r>
              <w:rPr>
                <w:rFonts w:hint="eastAsia"/>
                <w:b/>
                <w:sz w:val="24"/>
              </w:rPr>
              <w:t>接触眼睛：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29451E4A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撑开眼睑，用温水长时间冲洗（至少10分钟），就诊眼科医生。</w:t>
            </w:r>
          </w:p>
        </w:tc>
      </w:tr>
      <w:tr w14:paraId="3BF0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46D4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4  </w:t>
            </w:r>
            <w:r>
              <w:rPr>
                <w:rFonts w:hint="eastAsia"/>
                <w:b/>
                <w:sz w:val="24"/>
              </w:rPr>
              <w:t>接触皮肤：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3C07DAD">
            <w:pPr>
              <w:keepNext w:val="0"/>
              <w:spacing w:line="300" w:lineRule="auto"/>
              <w:jc w:val="left"/>
              <w:rPr>
                <w:rFonts w:hint="default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立即用肥皂和大量的水冲洗。若发生皮肤反应，就医</w:t>
            </w:r>
          </w:p>
        </w:tc>
      </w:tr>
      <w:tr w14:paraId="79F4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55F14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Chars="0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4.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5  </w:t>
            </w:r>
            <w:r>
              <w:rPr>
                <w:rFonts w:hint="eastAsia"/>
                <w:b/>
                <w:sz w:val="24"/>
              </w:rPr>
              <w:t>吸入：</w:t>
            </w:r>
          </w:p>
        </w:tc>
        <w:tc>
          <w:tcPr>
            <w:tcW w:w="6276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AF80536">
            <w:pPr>
              <w:keepNext w:val="0"/>
              <w:spacing w:line="300" w:lineRule="auto"/>
              <w:jc w:val="left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若刺激呼吸道，就医。</w:t>
            </w:r>
          </w:p>
        </w:tc>
      </w:tr>
    </w:tbl>
    <w:p w14:paraId="29F19B8A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78CF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486C1B6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5.</w:t>
            </w:r>
            <w:r>
              <w:rPr>
                <w:rFonts w:hint="eastAsia" w:hAnsi="Arial"/>
                <w:b/>
                <w:sz w:val="24"/>
              </w:rPr>
              <w:t>消防措施</w:t>
            </w:r>
          </w:p>
        </w:tc>
      </w:tr>
      <w:tr w14:paraId="59313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35432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合适的灭火剂：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035FF3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二氧化碳（CO2），泡沫，灭火粉末，大火时应用喷洒水</w:t>
            </w:r>
            <w:r>
              <w:rPr>
                <w:sz w:val="24"/>
              </w:rPr>
            </w:r>
            <w:r>
              <w:rPr>
                <w:sz w:val="24"/>
                <w:vertAlign w:val="subscript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  <w:r>
              <w:rPr>
                <w:rFonts w:hint="eastAsia"/>
                <w:sz w:val="24"/>
                <w:lang w:val="en-US" w:eastAsia="zh-CN"/>
              </w:rPr>
            </w:r>
          </w:p>
        </w:tc>
      </w:tr>
      <w:tr w14:paraId="54F17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E7DF0F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不合适的灭火剂：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6C3C7C3D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高流量的水喷射</w:t>
            </w:r>
            <w:r>
              <w:rPr>
                <w:rFonts w:hint="eastAsia"/>
                <w:sz w:val="24"/>
              </w:rPr>
            </w:r>
          </w:p>
        </w:tc>
      </w:tr>
      <w:tr w14:paraId="0DCB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49E2E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物质或混合物的特殊危害：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478AA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燃烧时释放一氧化碳、二氧化碳、氮氧化物和少量的氰化氢</w:t>
              <w:br/>
              <w:t>在着火或爆炸情况下，不要吸进烟尘。</w:t>
            </w:r>
            <w:r>
              <w:rPr>
                <w:rFonts w:hint="eastAsia"/>
                <w:sz w:val="24"/>
                <w:lang w:val="en-US" w:eastAsia="zh-CN"/>
              </w:rPr>
            </w:r>
            <w:r>
              <w:rPr>
                <w:rFonts w:hint="eastAsia"/>
                <w:sz w:val="24"/>
                <w:lang w:eastAsia="zh-CN"/>
              </w:rPr>
            </w:r>
          </w:p>
        </w:tc>
      </w:tr>
      <w:tr w14:paraId="04A38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DD65C9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5.4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消防预防措施和保护设备：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36625AEA">
            <w:pPr>
              <w:keepNext w:val="0"/>
              <w:keepLines w:val="0"/>
              <w:pageBreakBefore w:val="0"/>
              <w:widowControl w:val="0"/>
              <w:tabs>
                <w:tab w:val="left" w:pos="-10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消防人员必须佩戴自供气式呼吸器。</w:t>
              <w:br/>
              <w:t>禁止污染的灭火用水流入土壤，地下水或地表水中。</w:t>
            </w:r>
          </w:p>
        </w:tc>
      </w:tr>
    </w:tbl>
    <w:p w14:paraId="3ED8EA2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10795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36D9A70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6.</w:t>
            </w:r>
            <w:r>
              <w:rPr>
                <w:rFonts w:hint="eastAsia" w:hAnsi="Arial"/>
                <w:b/>
                <w:sz w:val="24"/>
              </w:rPr>
              <w:t>意外泄漏措施</w:t>
            </w:r>
          </w:p>
        </w:tc>
      </w:tr>
      <w:tr w14:paraId="42D96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18628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个人预防措施、应急程序：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281DDE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戴防护设备。远离火源。</w:t>
              <w:br/>
              <w:t>确保充分的通风/排气。令未授权人员离开。</w:t>
            </w:r>
            <w:r>
              <w:rPr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14:paraId="37459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519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4D74B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 w:cs="Arial"/>
                <w:b/>
                <w:kern w:val="0"/>
                <w:sz w:val="24"/>
              </w:rPr>
              <w:t>环境保护措施：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</w:tcPr>
          <w:p w14:paraId="26E7A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禁止排入下水道，废水或土壤中。</w:t>
            </w:r>
            <w:r>
              <w:rPr>
                <w:rFonts w:hint="eastAsia"/>
                <w:sz w:val="24"/>
              </w:rPr>
            </w:r>
          </w:p>
        </w:tc>
      </w:tr>
      <w:tr w14:paraId="418D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6CD2BF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420" w:leftChars="0" w:hanging="420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6.3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污染物收集和清除的方法：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661AD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用化学品吸收材料或必要时用干沙收集，并储存与密闭容器中。</w:t>
            </w:r>
          </w:p>
        </w:tc>
      </w:tr>
    </w:tbl>
    <w:p w14:paraId="06C96FEC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6262"/>
      </w:tblGrid>
      <w:tr w14:paraId="2BF60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50BCC04F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7.</w:t>
            </w:r>
            <w:r>
              <w:rPr>
                <w:rFonts w:hint="eastAsia"/>
                <w:b/>
                <w:sz w:val="24"/>
              </w:rPr>
              <w:t>操作和储存</w:t>
            </w:r>
          </w:p>
        </w:tc>
      </w:tr>
      <w:tr w14:paraId="23488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19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07A838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安全操作防范：</w:t>
            </w:r>
          </w:p>
        </w:tc>
        <w:tc>
          <w:tcPr>
            <w:tcW w:w="6262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</w:tcPr>
          <w:p w14:paraId="1EF1C3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操作时遵守化学品的常见预防措施。避免与皮肤和眼睛接触。</w:t>
              <w:br/>
              <w:t>远离食物、饮料和烟草。休息以前和工作结束时洗手。将工作服单独存放。</w:t>
              <w:br/>
              <w:t>更换被污染或浸湿的衣物</w:t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</w:p>
        </w:tc>
      </w:tr>
      <w:tr w14:paraId="17B21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3519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2E5860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2"/>
              </w:numPr>
              <w:tabs>
                <w:tab w:val="clear" w:pos="540"/>
              </w:tabs>
              <w:kinsoku/>
              <w:wordWrap/>
              <w:overflowPunct/>
              <w:topLinePunct w:val="0"/>
              <w:bidi w:val="0"/>
              <w:snapToGrid/>
              <w:spacing w:line="300" w:lineRule="auto"/>
              <w:ind w:left="459" w:hanging="459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安全储存条件：</w:t>
            </w:r>
          </w:p>
        </w:tc>
        <w:tc>
          <w:tcPr>
            <w:tcW w:w="6262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548EDA89">
            <w:pPr>
              <w:keepNext w:val="0"/>
              <w:keepLines w:val="0"/>
              <w:pageBreakBefore w:val="0"/>
              <w:widowControl w:val="0"/>
              <w:shd w:val="clear" w:color="auto" w:fill="FFFFFF"/>
              <w:kinsoku/>
              <w:wordWrap/>
              <w:overflowPunct/>
              <w:topLinePunct w:val="0"/>
              <w:bidi w:val="0"/>
              <w:snapToGrid/>
              <w:spacing w:line="375" w:lineRule="atLeast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容器保持紧闭，存储在干燥通风处。为保持产品质量，必须遵守我们产品信息表的储存条件。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</w:tbl>
    <w:p w14:paraId="4D117280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860" w:type="dxa"/>
        <w:tblInd w:w="10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3"/>
        <w:gridCol w:w="326"/>
        <w:gridCol w:w="1411"/>
        <w:gridCol w:w="2465"/>
        <w:gridCol w:w="2465"/>
      </w:tblGrid>
      <w:tr w14:paraId="2F5BD22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860" w:type="dxa"/>
            <w:gridSpan w:val="5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6D7F092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rFonts w:hint="eastAsia"/>
                <w:b/>
                <w:sz w:val="24"/>
              </w:rPr>
              <w:t>接触控制</w:t>
            </w:r>
            <w:r>
              <w:rPr>
                <w:b/>
                <w:sz w:val="24"/>
              </w:rPr>
              <w:t>/</w:t>
            </w:r>
            <w:r>
              <w:rPr>
                <w:rFonts w:hint="eastAsia"/>
                <w:b/>
                <w:sz w:val="24"/>
              </w:rPr>
              <w:t>个人防护</w:t>
            </w:r>
          </w:p>
        </w:tc>
      </w:tr>
      <w:tr w14:paraId="6092870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60" w:type="dxa"/>
            <w:gridSpan w:val="5"/>
            <w:tcBorders>
              <w:top w:val="single" w:color="auto" w:sz="4" w:space="0"/>
              <w:left w:val="single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77FBBF6">
            <w:pPr>
              <w:keepNext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8.1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暴露控制：</w:t>
            </w:r>
          </w:p>
        </w:tc>
      </w:tr>
      <w:tr w14:paraId="4766DF4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8CF00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呼吸系统防护：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5622C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喷涂过程中要求有呼吸防护设备。</w:t>
            </w:r>
          </w:p>
        </w:tc>
      </w:tr>
      <w:tr w14:paraId="761F30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A40F4DB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64" w:leftChars="234" w:hanging="3373" w:hangingChars="14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手部防护： </w:t>
            </w:r>
            <w:r>
              <w:rPr>
                <w:b/>
                <w:sz w:val="24"/>
              </w:rPr>
              <w:tab/>
            </w:r>
            <w:r>
              <w:rPr>
                <w:rFonts w:hint="eastAsia" w:hAnsi="Arial" w:cs="Arial"/>
                <w:b/>
                <w:kern w:val="0"/>
                <w:sz w:val="24"/>
              </w:rPr>
              <w:t/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DA4BEF8">
            <w:pPr>
              <w:keepNext w:val="0"/>
              <w:keepLines w:val="0"/>
              <w:pageBreakBefore w:val="0"/>
              <w:widowControl w:val="0"/>
              <w:tabs>
                <w:tab w:val="left" w:pos="3451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left="3855" w:hanging="3840" w:hangingChars="1600"/>
              <w:jc w:val="left"/>
              <w:textAlignment w:val="auto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建议戴上防护手套。</w:t>
            </w:r>
          </w:p>
        </w:tc>
      </w:tr>
      <w:tr w14:paraId="682FFA3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4B518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防护手套的合适材料：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9A4C0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cs="Arial"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EN 374-3</w:t>
            </w:r>
          </w:p>
        </w:tc>
      </w:tr>
      <w:tr w14:paraId="1A9CDF3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E751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氟化橡胶 –FKM: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74310D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厚度≧0.4mm；穿透时间≧480min.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2455ED9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D9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丁基橡胶 –IIR：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19B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07619C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B72AA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丁腈橡胶 – NBR：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284A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厚度≧0.35mm；穿透时间≧480min.</w:t>
            </w:r>
            <w:r>
              <w:rPr>
                <w:rFonts w:cs="Arial"/>
                <w:kern w:val="0"/>
                <w:sz w:val="24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  <w:r>
              <w:rPr>
                <w:rFonts w:cs="Arial"/>
                <w:kern w:val="0"/>
                <w:sz w:val="24"/>
              </w:rPr>
            </w:r>
          </w:p>
        </w:tc>
      </w:tr>
      <w:tr w14:paraId="65730FF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DDD99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建议：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3D18C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b/>
                <w:sz w:val="24"/>
              </w:rPr>
            </w:pPr>
            <w:r>
              <w:rPr>
                <w:rFonts w:eastAsia="宋体"/>
                <w:b w:val="0"/>
                <w:bCs w:val="0"/>
                <w:sz w:val="24"/>
                <w:szCs w:val="24"/>
              </w:rPr>
              <w:t>污染的手套应废弃。</w:t>
            </w:r>
          </w:p>
        </w:tc>
      </w:tr>
      <w:tr w14:paraId="59C24E2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0F93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眼睛防护：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4F45D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戴护目镜/面罩。</w:t>
            </w:r>
            <w:r>
              <w:rPr>
                <w:rFonts w:hint="eastAsia" w:hAnsi="Arial" w:cs="Arial"/>
                <w:kern w:val="0"/>
                <w:sz w:val="24"/>
                <w:lang w:val="en-US" w:eastAsia="zh-CN"/>
              </w:rPr>
            </w:r>
            <w:r>
              <w:rPr>
                <w:rFonts w:hint="eastAsia" w:hAnsi="Arial" w:cs="Arial"/>
                <w:kern w:val="0"/>
                <w:sz w:val="24"/>
              </w:rPr>
            </w:r>
          </w:p>
        </w:tc>
      </w:tr>
      <w:tr w14:paraId="26E3284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BA07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firstLine="482" w:firstLineChars="20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身体防护：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156E5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穿着适当的防护服。</w:t>
            </w:r>
          </w:p>
        </w:tc>
      </w:tr>
      <w:tr w14:paraId="4BA4B64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19" w:type="dxa"/>
            <w:gridSpan w:val="2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83F7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hAnsi="Arial" w:cs="Arial"/>
                <w:kern w:val="0"/>
                <w:sz w:val="24"/>
                <w:lang w:val="en-US" w:eastAsia="zh-CN"/>
              </w:rPr>
            </w:pPr>
            <w:r>
              <w:rPr>
                <w:rFonts w:hint="eastAsia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8.2  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工程控制：</w:t>
            </w:r>
          </w:p>
        </w:tc>
        <w:tc>
          <w:tcPr>
            <w:tcW w:w="6341" w:type="dxa"/>
            <w:gridSpan w:val="3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39552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default" w:hAnsi="Arial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hAnsi="Arial" w:cs="Arial" w:eastAsia="宋体"/>
                <w:b w:val="0"/>
                <w:bCs w:val="0"/>
                <w:kern w:val="0"/>
                <w:sz w:val="24"/>
                <w:szCs w:val="24"/>
              </w:rPr>
              <w:t>根据EC指令2006/121/EG,无可用的接触限值信息。</w:t>
            </w:r>
          </w:p>
        </w:tc>
      </w:tr>
    </w:tbl>
    <w:p w14:paraId="2FDFF4E3">
      <w:pPr>
        <w:spacing w:line="300" w:lineRule="auto"/>
        <w:ind w:right="480"/>
        <w:rPr>
          <w:b/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49FE3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18A46F13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9. </w:t>
            </w:r>
            <w:r>
              <w:rPr>
                <w:rFonts w:hint="eastAsia"/>
                <w:b/>
                <w:sz w:val="24"/>
              </w:rPr>
              <w:t>物理和化学特性</w:t>
            </w:r>
          </w:p>
        </w:tc>
      </w:tr>
      <w:tr w14:paraId="76B1C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EC0A3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外观：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ACFE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</w:rPr>
              <w:t>乳白色液体</w:t>
            </w:r>
          </w:p>
        </w:tc>
      </w:tr>
      <w:tr w14:paraId="706DF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1B2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嗅觉阈值：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7A78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03A71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168D1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pH值：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1929290">
            <w:pPr>
              <w:keepNext w:val="0"/>
              <w:keepLines w:val="0"/>
              <w:pageBreakBefore w:val="0"/>
              <w:widowControl w:val="0"/>
              <w:tabs>
                <w:tab w:val="left" w:pos="3960"/>
              </w:tabs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7-9</w:t>
            </w:r>
          </w:p>
        </w:tc>
      </w:tr>
      <w:tr w14:paraId="1F71C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33B2AF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初沸点：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615D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约100℃</w:t>
            </w:r>
          </w:p>
        </w:tc>
      </w:tr>
      <w:tr w14:paraId="59BCB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3225A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闪点：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6C963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95℃</w:t>
            </w:r>
          </w:p>
        </w:tc>
      </w:tr>
      <w:tr w14:paraId="5B44C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6395E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蒸发速率：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CE9B4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2F9E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B8FDB5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可燃性（固态、气态）：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820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732C6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F22DD7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燃烧值：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9B9A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color w:val="FF0000"/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3DB88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850AE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9.9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相对蒸气密度：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7BD96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4F0AF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3CA09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9.10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密度：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DE9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  <w:vertAlign w:val="super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约1.06g/cm3</w:t>
            </w:r>
          </w:p>
        </w:tc>
      </w:tr>
      <w:tr w14:paraId="2F708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2D0F8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9.11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水溶性：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2E96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可混溶</w:t>
            </w:r>
          </w:p>
        </w:tc>
      </w:tr>
      <w:tr w14:paraId="64451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2AE2D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9.12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表面张力：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14F5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74514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7082A7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9.13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辛醇/水分配系数对数值：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056B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  <w:vertAlign w:val="subscript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5085B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left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AFB09C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9.14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自燃温度：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single" w:color="auto" w:sz="4" w:space="0"/>
            </w:tcBorders>
            <w:vAlign w:val="center"/>
          </w:tcPr>
          <w:p w14:paraId="634CC6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不适用</w:t>
            </w:r>
          </w:p>
        </w:tc>
      </w:tr>
      <w:tr w14:paraId="2F548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6A96A3B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9.15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引燃温度：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7D88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/>
              <w:jc w:val="left"/>
              <w:textAlignment w:val="auto"/>
              <w:rPr>
                <w:rFonts w:ascii="Times New Roman" w:hAnsi="Times New Roman" w:eastAsia="宋体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无数据资料。</w:t>
            </w:r>
          </w:p>
        </w:tc>
      </w:tr>
      <w:tr w14:paraId="10B41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07F583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9.16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动力粘度（25℃）：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32B81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50-4000 mPa.s</w:t>
            </w:r>
          </w:p>
        </w:tc>
      </w:tr>
      <w:tr w14:paraId="2A2B3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58867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9.17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固体含量：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5664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46±2%</w:t>
            </w:r>
          </w:p>
        </w:tc>
      </w:tr>
      <w:tr w14:paraId="17399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37C6F4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ind w:left="420" w:leftChars="0" w:hanging="420" w:firstLineChars="0"/>
            </w:pPr>
            <w:r>
              <w:rPr>
                <w:rFonts w:hint="eastAsia" w:ascii="Times New Roman" w:hAnsi="Times New Roman" w:eastAsia="宋体" w:cs="Times New Roman"/>
                <w:b/>
                <w:sz w:val="21"/>
                <w:szCs w:val="21"/>
              </w:rPr>
              <w:t xml:space="preserve">9.18 </w:t>
            </w:r>
            <w:r>
              <w:rPr>
                <w:rFonts w:hint="eastAsia" w:hAnsi="Arial" w:ascii="Arial" w:eastAsia="Arial"/>
                <w:b/>
                <w:sz w:val="24"/>
                <w:szCs w:val="24"/>
              </w:rPr>
              <w:t>其他信息：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top"/>
          </w:tcPr>
          <w:p w14:paraId="73D99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bidi w:val="0"/>
              <w:adjustRightInd/>
              <w:snapToGrid/>
              <w:spacing w:line="300" w:lineRule="auto"/>
              <w:ind w:right="34" w:rightChars="16" w:firstLine="0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</w:rPr>
              <w:t>上述数据非产品指标，产品指标请参见产品技术信息表。</w:t>
            </w:r>
          </w:p>
        </w:tc>
      </w:tr>
    </w:tbl>
    <w:p w14:paraId="7A162BBF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207A9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64C64BB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rFonts w:hint="eastAsia" w:hAnsi="Arial"/>
                <w:b/>
                <w:sz w:val="24"/>
              </w:rPr>
              <w:t>稳定性和反应性</w:t>
            </w:r>
          </w:p>
        </w:tc>
      </w:tr>
      <w:tr w14:paraId="0BB27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single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EA893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化学稳定性：</w:t>
            </w:r>
          </w:p>
        </w:tc>
        <w:tc>
          <w:tcPr>
            <w:tcW w:w="6277" w:type="dxa"/>
            <w:tcBorders>
              <w:top w:val="single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786BD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-25" w:leftChars="-12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根据规范使用，不会发生分解。</w:t>
            </w:r>
          </w:p>
        </w:tc>
      </w:tr>
      <w:tr w14:paraId="46C9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2F444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危险分解产物：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065D49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在热分解过程中生成易燃有害气体。</w:t>
            </w:r>
          </w:p>
        </w:tc>
      </w:tr>
      <w:tr w14:paraId="50E98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FDABB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10.3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可能的危害反应：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top"/>
          </w:tcPr>
          <w:p w14:paraId="604AF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正确储存或操作时，无危害反应。</w:t>
            </w:r>
          </w:p>
        </w:tc>
      </w:tr>
    </w:tbl>
    <w:p w14:paraId="27E10F6C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9"/>
        <w:gridCol w:w="1311"/>
        <w:gridCol w:w="635"/>
        <w:gridCol w:w="4316"/>
      </w:tblGrid>
      <w:tr w14:paraId="44176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4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1CE92C46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11.</w:t>
            </w:r>
            <w:r>
              <w:rPr>
                <w:rFonts w:hint="eastAsia" w:hAnsi="Arial"/>
                <w:b/>
                <w:sz w:val="24"/>
              </w:rPr>
              <w:t>毒性资料</w:t>
            </w:r>
          </w:p>
        </w:tc>
      </w:tr>
      <w:tr w14:paraId="0815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gridSpan w:val="4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该产品无可用的毒理学研究。</w:t>
            </w:r>
          </w:p>
        </w:tc>
      </w:tr>
      <w:tr w14:paraId="08568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  <w:gridSpan w:val="4"/>
          </w:tcPr>
          <w:p>
            <w:pPr>
              <w:jc w:val="left"/>
              <w:spacing w:line="300" w:lineRule="auto"/>
            </w:pPr>
            <w:r>
              <w:rPr>
                <w:rFonts w:ascii="SimSun" w:eastAsia="SimSun" w:hAnsi="SimSun"/>
                <w:sz w:val="18"/>
              </w:rPr>
              <w:t xml:space="preserve">下面是这些成分的毒理学数据。</w:t>
            </w:r>
          </w:p>
        </w:tc>
      </w:tr>
      <w:tr w14:paraId="7C33C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  <w:gridSpan w:val="4"/>
          </w:tcPr>
          <w:p w14:paraId="7BB29EF3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9" w:leftChars="16" w:hanging="565" w:hangingChars="268"/>
              <w:jc w:val="left"/>
              <w:textAlignment w:val="auto"/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1DBC8BF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C1B3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F29EC5C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>12.</w:t>
            </w:r>
            <w:r>
              <w:rPr>
                <w:rFonts w:hint="eastAsia" w:hAnsi="Arial"/>
                <w:b/>
                <w:sz w:val="24"/>
              </w:rPr>
              <w:t>生态信息</w:t>
            </w:r>
          </w:p>
        </w:tc>
      </w:tr>
      <w:tr w14:paraId="7994A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54C327B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1  </w:t>
            </w:r>
            <w:r>
              <w:rPr>
                <w:rFonts w:hint="eastAsia" w:hAnsi="Arial"/>
                <w:b/>
                <w:sz w:val="24"/>
              </w:rPr>
              <w:t>生态毒性：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3DC907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rFonts w:hint="eastAsia"/>
                <w:b w:val="0"/>
                <w:bCs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eastAsia="宋体"/>
                <w:b w:val="0"/>
                <w:bCs w:val="0"/>
                <w:sz w:val="24"/>
                <w:szCs w:val="24"/>
                <w:shd w:val="clear" w:color="auto" w:fill="auto"/>
                <w:lang w:val="en-US" w:eastAsia="zh-CN"/>
              </w:rPr>
              <w:t>该产品无可用的生态毒理学研究。禁止排入下水道，废水或土壤中。</w:t>
            </w:r>
          </w:p>
        </w:tc>
      </w:tr>
      <w:tr w14:paraId="3CB8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F8F9209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12.2</w:t>
            </w:r>
            <w:r>
              <w:rPr>
                <w:rFonts w:hint="eastAsia" w:cs="Times New Roman"/>
                <w:b/>
                <w:kern w:val="2"/>
                <w:sz w:val="24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持久性和降解性：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49C530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4"/>
                <w:szCs w:val="24"/>
              </w:rPr>
              <w:t>该产品不易生物降解。</w:t>
            </w:r>
          </w:p>
        </w:tc>
      </w:tr>
      <w:tr w14:paraId="31B02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01AA066D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597" w:leftChars="0" w:hanging="597" w:hangingChars="283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12.3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其他</w:t>
            </w:r>
            <w:r>
              <w:rPr>
                <w:rFonts w:hint="eastAsia" w:hAnsi="Arial"/>
                <w:b/>
                <w:sz w:val="24"/>
                <w:lang w:val="en-US" w:eastAsia="zh-CN"/>
              </w:rPr>
              <w:t>不利的影响</w:t>
            </w:r>
            <w:r>
              <w:rPr>
                <w:rFonts w:hint="eastAsia" w:hAnsi="Arial"/>
                <w:b/>
                <w:sz w:val="24"/>
              </w:rPr>
              <w:t>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</w:tcPr>
          <w:p w14:paraId="754855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1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  <w:lang w:val="en-US" w:eastAsia="zh-CN"/>
              </w:rPr>
              <w:t>根据生态毒理学资料，该产品被划分为对鱼类和水蚤无害类。</w:t>
            </w:r>
          </w:p>
        </w:tc>
      </w:tr>
    </w:tbl>
    <w:p w14:paraId="113DEAAE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66D0A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</w:tcPr>
          <w:p w14:paraId="6B06BC8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13. </w:t>
            </w:r>
            <w:r>
              <w:rPr>
                <w:rFonts w:hint="eastAsia" w:hAnsi="Arial"/>
                <w:b/>
                <w:sz w:val="24"/>
              </w:rPr>
              <w:t>处理注意事项</w:t>
            </w:r>
          </w:p>
        </w:tc>
      </w:tr>
      <w:tr w14:paraId="6C5A3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49E70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20" w:afterLines="20" w:line="240" w:lineRule="atLeast"/>
              <w:ind w:left="34"/>
              <w:jc w:val="left"/>
              <w:textAlignment w:val="auto"/>
              <w:rPr>
                <w:rFonts w:hint="eastAsia" w:hAnsi="Arial"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必须遵守适用的国标、国家或当地法规进行废弃。</w:t>
              <w:br/>
              <w:t>在欧盟领域内废弃，应根据欧洲废弃物分类（EWC）的适当法规。</w:t>
            </w:r>
          </w:p>
        </w:tc>
      </w:tr>
      <w:tr w14:paraId="3A30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743637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sz w:val="24"/>
              </w:rPr>
            </w:pPr>
            <w:r>
              <w:rPr>
                <w:rFonts w:hint="eastAsia" w:hAnsi="Arial"/>
                <w:b/>
                <w:sz w:val="24"/>
              </w:rPr>
              <w:t>处理方法：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3EFBD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尽可能将容器倒空（例如经倾倒，刮擦或排干直至“滴干”）</w:t>
              <w:br/>
              <w:t>可根据化学工业现存的回收方案送往适当的收集点处理。</w:t>
              <w:br/>
              <w:t>容器应按照国家法令和环境相关法规进行回收。</w:t>
              <w:br/>
              <w:t>不能将废弃物通过废水排放。</w:t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 w:hAnsi="Arial"/>
                <w:sz w:val="24"/>
              </w:rPr>
            </w:r>
          </w:p>
        </w:tc>
      </w:tr>
    </w:tbl>
    <w:p w14:paraId="4FC2F438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4"/>
        <w:gridCol w:w="6277"/>
      </w:tblGrid>
      <w:tr w14:paraId="7B487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gridSpan w:val="2"/>
            <w:tcBorders>
              <w:top w:val="single" w:color="auto" w:sz="4" w:space="0"/>
              <w:bottom w:val="dotted" w:color="auto" w:sz="4" w:space="0"/>
            </w:tcBorders>
            <w:shd w:val="clear" w:color="auto" w:fill="D9D9D9"/>
          </w:tcPr>
          <w:p w14:paraId="5D6DDD14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14. </w:t>
            </w:r>
            <w:r>
              <w:rPr>
                <w:rFonts w:hint="eastAsia" w:hAnsi="Arial"/>
                <w:b/>
                <w:sz w:val="24"/>
              </w:rPr>
              <w:t>运输信息</w:t>
            </w:r>
          </w:p>
        </w:tc>
      </w:tr>
      <w:tr w14:paraId="308B5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99E9AB5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14.1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公路和铁路运输：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014F40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非危险品陆运输方式，符合ADG准则。</w:t>
            </w:r>
          </w:p>
        </w:tc>
      </w:tr>
      <w:tr w14:paraId="6DCCE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4CFEF3D7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14.2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海上运输：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6F80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非危险品海运方式，符合IMDG准则。</w:t>
            </w:r>
          </w:p>
        </w:tc>
      </w:tr>
      <w:tr w14:paraId="5C8C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" w:hRule="atLeast"/>
        </w:trPr>
        <w:tc>
          <w:tcPr>
            <w:tcW w:w="3504" w:type="dxa"/>
            <w:tcBorders>
              <w:top w:val="dotted" w:color="auto" w:sz="4" w:space="0"/>
              <w:bottom w:val="dotted" w:color="auto" w:sz="4" w:space="0"/>
              <w:right w:val="dotted" w:color="auto" w:sz="4" w:space="0"/>
            </w:tcBorders>
            <w:vAlign w:val="center"/>
          </w:tcPr>
          <w:p w14:paraId="14B11CF4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14.3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空运：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dotted" w:color="auto" w:sz="4" w:space="0"/>
            </w:tcBorders>
            <w:vAlign w:val="center"/>
          </w:tcPr>
          <w:p w14:paraId="2EA81C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非危险品运输方式，符合IATA准则。</w:t>
            </w:r>
          </w:p>
        </w:tc>
      </w:tr>
      <w:tr w14:paraId="40A5C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3504" w:type="dxa"/>
            <w:tcBorders>
              <w:top w:val="dotted" w:color="auto" w:sz="4" w:space="0"/>
              <w:bottom w:val="single" w:color="auto" w:sz="4" w:space="0"/>
              <w:right w:val="dotted" w:color="auto" w:sz="4" w:space="0"/>
            </w:tcBorders>
            <w:vAlign w:val="center"/>
          </w:tcPr>
          <w:p w14:paraId="261CF3AC">
            <w:pPr>
              <w:keepNext w:val="0"/>
              <w:keepLines w:val="0"/>
              <w:pageBreakBefore w:val="0"/>
              <w:widowControl w:val="0"/>
              <w:numPr>
                <w:ilvl w:val="1"/>
                <w:numId w:val="0"/>
              </w:numPr>
              <w:tabs>
                <w:tab w:val="left" w:pos="601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601" w:leftChars="0" w:hanging="601" w:firstLineChars="0"/>
              <w:jc w:val="left"/>
              <w:textAlignment w:val="auto"/>
              <w:rPr>
                <w:b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1"/>
                <w:szCs w:val="21"/>
                <w:lang w:val="en-US" w:eastAsia="zh-CN" w:bidi="ar-SA"/>
              </w:rPr>
              <w:t>14.4</w:t>
            </w:r>
            <w:r>
              <w:rPr>
                <w:rFonts w:hint="eastAsia" w:cs="Times New Roman"/>
                <w:b/>
                <w:kern w:val="2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hAnsi="Arial"/>
                <w:b/>
                <w:sz w:val="24"/>
              </w:rPr>
              <w:t>用户特殊注意事项：</w:t>
            </w:r>
          </w:p>
        </w:tc>
        <w:tc>
          <w:tcPr>
            <w:tcW w:w="6277" w:type="dxa"/>
            <w:tcBorders>
              <w:top w:val="dotted" w:color="auto" w:sz="4" w:space="0"/>
              <w:left w:val="dotted" w:color="auto" w:sz="4" w:space="0"/>
              <w:bottom w:val="single" w:color="auto" w:sz="4" w:space="0"/>
            </w:tcBorders>
            <w:vAlign w:val="center"/>
          </w:tcPr>
          <w:p w14:paraId="130CA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left="34" w:right="480"/>
              <w:jc w:val="left"/>
              <w:textAlignment w:val="auto"/>
              <w:rPr>
                <w:sz w:val="24"/>
              </w:rPr>
            </w:pPr>
            <w:r>
              <w:rPr>
                <w:rFonts w:hint="eastAsia" w:hAnsi="Arial" w:eastAsia="宋体"/>
                <w:b w:val="0"/>
                <w:bCs w:val="0"/>
                <w:sz w:val="24"/>
                <w:szCs w:val="24"/>
              </w:rPr>
              <w:t>非危险货物。</w:t>
              <w:br/>
              <w:t>温度不可高于+50℃，温度不可低于－5℃。</w:t>
              <w:br/>
              <w:t>远离食物、酸和碱。</w:t>
            </w:r>
          </w:p>
        </w:tc>
      </w:tr>
    </w:tbl>
    <w:p w14:paraId="7D7B3500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50F9C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bottom w:val="single" w:color="auto" w:sz="4" w:space="0"/>
              <w:tl2br w:val="nil"/>
              <w:tr2bl w:val="nil"/>
            </w:tcBorders>
            <w:shd w:val="clear" w:color="auto" w:fill="D9D9D9"/>
          </w:tcPr>
          <w:p w14:paraId="333712D5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15. </w:t>
            </w:r>
            <w:r>
              <w:rPr>
                <w:rFonts w:hint="eastAsia"/>
                <w:b/>
                <w:sz w:val="24"/>
              </w:rPr>
              <w:t>法规信息</w:t>
            </w:r>
          </w:p>
        </w:tc>
      </w:tr>
      <w:tr w14:paraId="4F8D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9781" w:type="dxa"/>
            <w:tcBorders>
              <w:top w:val="single" w:color="auto" w:sz="4" w:space="0"/>
              <w:bottom w:val="dotted" w:color="auto" w:sz="4" w:space="0"/>
            </w:tcBorders>
            <w:vAlign w:val="center"/>
          </w:tcPr>
          <w:p w14:paraId="00764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bookmarkStart w:id="0" w:name="_GoBack" w:colFirst="0" w:colLast="0"/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物质或混合物的相关安全、健康和环保法律法规</w:t>
            </w:r>
          </w:p>
        </w:tc>
      </w:tr>
      <w:tr w14:paraId="3667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3E3DA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其它的规定：</w:t>
            </w:r>
          </w:p>
        </w:tc>
      </w:tr>
      <w:tr w14:paraId="7EC7D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59F4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/>
                <w:bCs/>
                <w:kern w:val="0"/>
                <w:sz w:val="24"/>
              </w:rPr>
            </w:pPr>
            <w:r>
              <w:rPr>
                <w:rFonts w:hint="eastAsia" w:cs="Arial"/>
                <w:b/>
                <w:bCs/>
                <w:kern w:val="0"/>
                <w:sz w:val="24"/>
              </w:rPr>
              <w:t>符合下列法规要求：</w:t>
            </w:r>
          </w:p>
        </w:tc>
      </w:tr>
      <w:tr w14:paraId="49C1F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79BB84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危险化学品安全管理条例，国务院令344号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1634E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14529E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GB/T 16483-2008 化学品安全技术说明书内容和项目顺序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383D9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2E97D1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13690-2009 化学品分类和危险性公示通则</w:t>
            </w:r>
            <w:r>
              <w:rPr>
                <w:rFonts w:hint="eastAsia" w:cs="Arial"/>
                <w:bCs/>
                <w:kern w:val="0"/>
                <w:sz w:val="24"/>
              </w:rPr>
            </w:r>
          </w:p>
        </w:tc>
      </w:tr>
      <w:tr w14:paraId="59FB4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  <w:bottom w:val="dotted" w:color="auto" w:sz="4" w:space="0"/>
            </w:tcBorders>
            <w:vAlign w:val="center"/>
          </w:tcPr>
          <w:p w14:paraId="5747F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cs="Arial" w:eastAsia="宋体"/>
                <w:b w:val="0"/>
                <w:bCs w:val="0"/>
                <w:kern w:val="0"/>
                <w:sz w:val="24"/>
                <w:szCs w:val="24"/>
              </w:rPr>
              <w:t>GB 20576- GB20598 化学品分类，警示标签和警示性说明安全规范</w:t>
            </w:r>
            <w:r>
              <w:rPr>
                <w:rFonts w:hint="eastAsia" w:cs="Arial"/>
                <w:bCs/>
                <w:kern w:val="0"/>
                <w:sz w:val="24"/>
                <w:lang w:val="en-US" w:eastAsia="zh-CN"/>
              </w:rPr>
            </w:r>
          </w:p>
        </w:tc>
      </w:tr>
      <w:tr w14:paraId="76C5C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9781" w:type="dxa"/>
            <w:tcBorders>
              <w:top w:val="dotted" w:color="auto" w:sz="4" w:space="0"/>
            </w:tcBorders>
            <w:vAlign w:val="center"/>
          </w:tcPr>
          <w:p w14:paraId="25F66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hint="default" w:eastAsia="宋体" w:cs="Arial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  <w:lang w:val="en-US" w:eastAsia="zh-CN"/>
              </w:rPr>
              <w:t>GB 15258 化学品安全标签编写规定</w:t>
            </w:r>
          </w:p>
        </w:tc>
      </w:tr>
      <w:bookmarkEnd w:id="0"/>
    </w:tbl>
    <w:p w14:paraId="732CB0C7">
      <w:pPr>
        <w:spacing w:line="300" w:lineRule="auto"/>
        <w:ind w:right="480"/>
        <w:rPr>
          <w:sz w:val="24"/>
        </w:rPr>
      </w:pPr>
    </w:p>
    <w:tbl>
      <w:tblPr>
        <w:tblStyle w:val="4"/>
        <w:tblW w:w="978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81"/>
      </w:tblGrid>
      <w:tr w14:paraId="2CB9F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81" w:type="dxa"/>
            <w:tcBorders>
              <w:top w:val="single" w:color="auto" w:sz="4" w:space="0"/>
              <w:bottom w:val="single" w:color="auto" w:sz="4" w:space="0"/>
            </w:tcBorders>
            <w:shd w:val="clear" w:color="auto" w:fill="D9D9D9"/>
            <w:vAlign w:val="top"/>
          </w:tcPr>
          <w:p w14:paraId="507596F8">
            <w:pPr>
              <w:keepNext/>
              <w:spacing w:line="300" w:lineRule="auto"/>
              <w:ind w:right="48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16. </w:t>
            </w:r>
            <w:r>
              <w:rPr>
                <w:rFonts w:hint="eastAsia"/>
                <w:b/>
                <w:sz w:val="24"/>
              </w:rPr>
              <w:t>其他信息</w:t>
            </w:r>
          </w:p>
        </w:tc>
      </w:tr>
      <w:tr w14:paraId="43164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81" w:type="dxa"/>
            <w:tcBorders>
              <w:top w:val="nil"/>
              <w:bottom w:val="single" w:color="auto" w:sz="4" w:space="0"/>
            </w:tcBorders>
            <w:vAlign w:val="top"/>
          </w:tcPr>
          <w:p w14:paraId="3C8BD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300" w:lineRule="auto"/>
              <w:jc w:val="left"/>
              <w:textAlignment w:val="auto"/>
              <w:rPr>
                <w:rFonts w:cs="Arial"/>
                <w:bCs/>
                <w:kern w:val="0"/>
                <w:sz w:val="24"/>
              </w:rPr>
            </w:pPr>
            <w:r>
              <w:rPr>
                <w:rFonts w:hint="eastAsia" w:cs="Arial" w:eastAsia="宋体"/>
                <w:b w:val="0"/>
                <w:bCs w:val="0"/>
                <w:kern w:val="0"/>
                <w:sz w:val="24"/>
                <w:szCs w:val="24"/>
              </w:rPr>
              <w:t>就我们所掌握的知识信息，截止本安全技术说明书发布之日，它提供的资料是正确的。所提供的信息仅仅作为安全处理，使用，生产，储存，运输，处置和排放的指导书，而不是一份担保或品质说明书。本资料只针对所指定的具体物料，而对这种物料与其它物料混合使用或在其它制程中使用的情况，则未必有效（除非在文本中有特别说明）。</w:t>
            </w:r>
          </w:p>
        </w:tc>
      </w:tr>
    </w:tbl>
    <w:p w14:paraId="76B17033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2503" w:right="1077" w:bottom="1418" w:left="107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9968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984"/>
      <w:gridCol w:w="4984"/>
    </w:tblGrid>
    <w:tr w14:paraId="417E9E7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66" w:hRule="atLeast"/>
      </w:trPr>
      <w:tc>
        <w:tcPr>
          <w:tcW w:w="4984" w:type="dxa"/>
          <w:vAlign w:val="center"/>
        </w:tcPr>
        <w:p w14:paraId="46D85E13">
          <w:pPr>
            <w:spacing w:line="0" w:lineRule="atLeast"/>
            <w:rPr>
              <w:kern w:val="0"/>
              <w:sz w:val="21"/>
              <w:szCs w:val="21"/>
            </w:rPr>
            <w:jc w:val="left"/>
            <w:jc w:val="left"/>
          </w:pPr>
          <w:r>
            <w:rPr>
              <w:rFonts w:hint="eastAsia"/>
              <w:kern w:val="0"/>
              <w:sz w:val="21"/>
              <w:szCs w:val="21"/>
            </w:rPr>
            <w:t>广州冠志新材料科技有限公司 PA-3223-MSDS</w:t>
          </w:r>
        </w:p>
      </w:tc>
      <w:tc>
        <w:tcPr>
          <w:tcW w:w="4984" w:type="dxa"/>
        </w:tcPr>
        <w:p w14:paraId="32B3FF4C">
          <w:pPr>
            <w:ind w:firstLine="8730" w:firstLineChars="4850"/>
            <w:jc w:val="right"/>
            <w:rPr>
              <w:kern w:val="0"/>
              <w:sz w:val="20"/>
            </w:rPr>
            <w:jc w:val="right"/>
            <w:jc w:val="right"/>
          </w:pPr>
          <w:r>
            <w:rPr>
              <w:rFonts w:ascii="Arial" w:eastAsia="楷体_GB2312"/>
              <w:color w:val="7F7F7F"/>
              <w:kern w:val="0"/>
              <w:sz w:val="18"/>
              <w:szCs w:val="18"/>
            </w:rPr>
            <w:t>修订日期：2026/10/26   </w:t>
          </w:r>
        </w:p>
      </w:tc>
    </w:tr>
    <w:tr w14:paraId="2040E823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984" w:type="dxa"/>
        </w:tcPr>
        <w:p w14:paraId="410F45E5">
          <w:pPr>
            <w:pStyle w:val="2"/>
            <w:rPr>
              <w:kern w:val="0"/>
              <w:sz w:val="21"/>
              <w:szCs w:val="21"/>
            </w:rPr>
          </w:pPr>
        </w:p>
      </w:tc>
      <w:tc>
        <w:tcPr>
          <w:tcW w:w="4984" w:type="dxa"/>
        </w:tcPr>
        <w:p w14:paraId="43E50451">
          <w:pPr>
            <w:pStyle w:val="2"/>
            <w:jc w:val="right"/>
            <w:rPr>
              <w:kern w:val="0"/>
              <w:sz w:val="24"/>
              <w:szCs w:val="24"/>
            </w:rPr>
          </w:pP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PAGE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3</w:t>
          </w:r>
          <w:r>
            <w:rPr>
              <w:rFonts w:ascii="Arial" w:eastAsia="楷体_GB2312"/>
              <w:kern w:val="0"/>
            </w:rPr>
            <w:fldChar w:fldCharType="end"/>
          </w:r>
          <w:r>
            <w:rPr>
              <w:rFonts w:ascii="Arial" w:eastAsia="楷体_GB2312"/>
              <w:kern w:val="0"/>
            </w:rPr>
            <w:t xml:space="preserve"> / </w:t>
          </w:r>
          <w:r>
            <w:rPr>
              <w:rFonts w:ascii="Arial" w:eastAsia="楷体_GB2312"/>
              <w:kern w:val="0"/>
            </w:rPr>
            <w:fldChar w:fldCharType="begin"/>
          </w:r>
          <w:r>
            <w:rPr>
              <w:rFonts w:ascii="Arial" w:eastAsia="楷体_GB2312"/>
              <w:kern w:val="0"/>
            </w:rPr>
            <w:instrText xml:space="preserve"> NUMPAGES  </w:instrText>
          </w:r>
          <w:r>
            <w:rPr>
              <w:rFonts w:ascii="Arial" w:eastAsia="楷体_GB2312"/>
              <w:kern w:val="0"/>
            </w:rPr>
            <w:fldChar w:fldCharType="separate"/>
          </w:r>
          <w:r>
            <w:rPr>
              <w:rFonts w:ascii="Arial" w:eastAsia="楷体_GB2312"/>
              <w:kern w:val="0"/>
            </w:rPr>
            <w:t>5</w:t>
          </w:r>
          <w:r>
            <w:rPr>
              <w:rFonts w:ascii="Arial" w:eastAsia="楷体_GB2312"/>
              <w:kern w:val="0"/>
            </w:rPr>
            <w:fldChar w:fldCharType="end"/>
          </w:r>
        </w:p>
      </w:tc>
    </w:tr>
  </w:tbl>
  <w:p w14:paraId="00CCFC91">
    <w:pPr>
      <w:pStyle w:val="2"/>
      <w:rPr>
        <w:sz w:val="24"/>
        <w:szCs w:val="24"/>
      </w:rPr>
    </w:pPr>
    <w:r>
      <w:rPr>
        <w:rFonts w:hint="eastAsia"/>
        <w:sz w:val="24"/>
        <w:szCs w:val="24"/>
      </w:rPr>
      <w:t xml:space="preserve">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9A818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58BEE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8B4F50">
    <w:pPr>
      <w:tabs>
        <w:tab w:val="left" w:pos="360"/>
      </w:tabs>
      <w:ind w:left="202" w:hanging="202" w:hangingChars="56"/>
      <w:jc w:val="center"/>
      <w:rPr>
        <w:rFonts w:cs="Arial" w:asciiTheme="majorEastAsia" w:hAnsiTheme="majorEastAsia" w:eastAsiaTheme="majorEastAsia"/>
        <w:b/>
        <w:sz w:val="44"/>
        <w:szCs w:val="44"/>
      </w:rPr>
    </w:pPr>
    <w:r>
      <w:rPr>
        <w:rFonts w:ascii="Arial" w:hAnsi="Arial" w:eastAsia="楷体_GB2312" w:cs="Arial"/>
        <w:b/>
        <w:sz w:val="36"/>
        <w:szCs w:val="36"/>
      </w:rPr>
      <w:t xml:space="preserve">  物料安全数据表</w:t>
    </w:r>
  </w:p>
  <w:p w14:paraId="5120AA12">
    <w:pPr>
      <w:wordWrap w:val="0"/>
      <w:jc w:val="right"/>
      <w:rPr>
        <w:rFonts w:hint="eastAsia" w:ascii="Arial" w:hAnsi="Arial" w:eastAsia="楷体_GB2312"/>
        <w:sz w:val="18"/>
        <w:szCs w:val="18"/>
        <w:lang w:eastAsia="zh-CN"/>
      </w:rPr>
    </w:pPr>
    <w:r>
      <w:rPr>
        <w:rFonts w:ascii="Arial" w:eastAsia="楷体_GB2312"/>
        <w:sz w:val="18"/>
        <w:szCs w:val="18"/>
      </w:rPr>
      <w:t>Version：V1.0</w:t>
    </w:r>
  </w:p>
  <w:tbl>
    <w:tblPr>
      <w:tblStyle w:val="4"/>
      <w:tblW w:w="9781" w:type="dxa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9781"/>
    </w:tblGrid>
    <w:tr w14:paraId="53277F5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781" w:type="dxa"/>
          <w:shd w:val="clear" w:color="auto" w:fill="D9D9D9"/>
        </w:tcPr>
        <w:p w14:paraId="5D2FB420">
          <w:pPr>
            <w:jc w:val="center"/>
            <w:rPr>
              <w:rFonts w:hint="default" w:eastAsia="楷体_GB2312"/>
              <w:b/>
              <w:sz w:val="36"/>
              <w:szCs w:val="36"/>
              <w:lang w:val="en-US" w:eastAsia="zh-CN"/>
            </w:rPr>
          </w:pPr>
          <w:r>
            <w:rPr>
              <w:rFonts w:hint="eastAsia" w:eastAsia="楷体_GB2312"/>
              <w:b/>
              <w:sz w:val="36"/>
              <w:szCs w:val="36"/>
              <w:lang w:val="en-US" w:eastAsia="zh-CN"/>
            </w:rPr>
            <w:t>PA-3223</w:t>
          </w:r>
        </w:p>
      </w:tc>
    </w:tr>
  </w:tbl>
  <w:p w14:paraId="24682DAE">
    <w:pPr>
      <w:jc w:val="left"/>
      <w:rPr>
        <w:rFonts w:ascii="Arial" w:hAnsi="Arial" w:eastAsia="楷体_GB2312"/>
        <w:color w:val="7F7F7F"/>
        <w:sz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0D546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6AC03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267157"/>
    <w:multiLevelType w:val="multilevel"/>
    <w:tmpl w:val="6E267157"/>
    <w:lvl w:ilvl="0" w:tentative="0">
      <w:start w:val="7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abstractNum w:abstractNumId="1">
    <w:nsid w:val="793A78E0"/>
    <w:multiLevelType w:val="multilevel"/>
    <w:tmpl w:val="793A78E0"/>
    <w:lvl w:ilvl="0" w:tentative="0">
      <w:start w:val="3"/>
      <w:numFmt w:val="decimal"/>
      <w:lvlText w:val="%1"/>
      <w:lvlJc w:val="left"/>
      <w:pPr>
        <w:tabs>
          <w:tab w:val="left" w:pos="540"/>
        </w:tabs>
        <w:ind w:left="540" w:hanging="540"/>
      </w:pPr>
      <w:rPr>
        <w:rFonts w:hint="default" w:cs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540"/>
        </w:tabs>
        <w:ind w:left="540" w:hanging="540"/>
      </w:pPr>
      <w:rPr>
        <w:rFonts w:hint="default" w:cs="Times New Roman"/>
        <w:b/>
        <w:sz w:val="21"/>
        <w:szCs w:val="21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default" w:cs="Times New Roman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default" w:cs="Times New Roman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 w:cs="Times New Roman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default"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kyZDE2MzdmZjRiMjBhMjYzZmE3MGFmMTY4N2ZhOTAifQ=="/>
  </w:docVars>
  <w:rsids>
    <w:rsidRoot w:val="00172A27"/>
    <w:rsid w:val="00054D63"/>
    <w:rsid w:val="000A232D"/>
    <w:rsid w:val="000F335C"/>
    <w:rsid w:val="00140D6D"/>
    <w:rsid w:val="00147ACA"/>
    <w:rsid w:val="0019663D"/>
    <w:rsid w:val="0022163F"/>
    <w:rsid w:val="00247204"/>
    <w:rsid w:val="00266D33"/>
    <w:rsid w:val="002854A9"/>
    <w:rsid w:val="002B1D4A"/>
    <w:rsid w:val="002C46D8"/>
    <w:rsid w:val="002E1F13"/>
    <w:rsid w:val="003044A2"/>
    <w:rsid w:val="00306061"/>
    <w:rsid w:val="00347806"/>
    <w:rsid w:val="0035626C"/>
    <w:rsid w:val="00376077"/>
    <w:rsid w:val="00382604"/>
    <w:rsid w:val="003F27B9"/>
    <w:rsid w:val="004004B5"/>
    <w:rsid w:val="004148B3"/>
    <w:rsid w:val="00452D86"/>
    <w:rsid w:val="00456CDB"/>
    <w:rsid w:val="004A3278"/>
    <w:rsid w:val="004D25D8"/>
    <w:rsid w:val="005F347E"/>
    <w:rsid w:val="00606522"/>
    <w:rsid w:val="006273B6"/>
    <w:rsid w:val="006321EB"/>
    <w:rsid w:val="006861E3"/>
    <w:rsid w:val="00701FAF"/>
    <w:rsid w:val="00853404"/>
    <w:rsid w:val="008D3B67"/>
    <w:rsid w:val="00A21619"/>
    <w:rsid w:val="00A26D98"/>
    <w:rsid w:val="00A72AB2"/>
    <w:rsid w:val="00AB7215"/>
    <w:rsid w:val="00AB7498"/>
    <w:rsid w:val="00B20B21"/>
    <w:rsid w:val="00B500B7"/>
    <w:rsid w:val="00BA1097"/>
    <w:rsid w:val="00BA2442"/>
    <w:rsid w:val="00BB25C3"/>
    <w:rsid w:val="00BE10CE"/>
    <w:rsid w:val="00C45C80"/>
    <w:rsid w:val="00CD38D2"/>
    <w:rsid w:val="00CE6BE2"/>
    <w:rsid w:val="00D548B3"/>
    <w:rsid w:val="00D75E1E"/>
    <w:rsid w:val="00DA78A9"/>
    <w:rsid w:val="00DB72E1"/>
    <w:rsid w:val="00E34CDB"/>
    <w:rsid w:val="00E87E33"/>
    <w:rsid w:val="00EC2C76"/>
    <w:rsid w:val="00F9634F"/>
    <w:rsid w:val="01147F10"/>
    <w:rsid w:val="01BE5C10"/>
    <w:rsid w:val="01C0201B"/>
    <w:rsid w:val="02E743F3"/>
    <w:rsid w:val="033E5FE6"/>
    <w:rsid w:val="03CD3581"/>
    <w:rsid w:val="04546492"/>
    <w:rsid w:val="054E7A62"/>
    <w:rsid w:val="057704A1"/>
    <w:rsid w:val="058D2BD0"/>
    <w:rsid w:val="0828271D"/>
    <w:rsid w:val="083F1AB1"/>
    <w:rsid w:val="084A705D"/>
    <w:rsid w:val="08686F25"/>
    <w:rsid w:val="08B149E8"/>
    <w:rsid w:val="0B542115"/>
    <w:rsid w:val="0D9A4456"/>
    <w:rsid w:val="0DB33389"/>
    <w:rsid w:val="0E2B745F"/>
    <w:rsid w:val="0F50181E"/>
    <w:rsid w:val="0F586F34"/>
    <w:rsid w:val="108F6167"/>
    <w:rsid w:val="10B417CB"/>
    <w:rsid w:val="10EB3F15"/>
    <w:rsid w:val="114255F5"/>
    <w:rsid w:val="119B2680"/>
    <w:rsid w:val="11D61814"/>
    <w:rsid w:val="120678DF"/>
    <w:rsid w:val="15440D4D"/>
    <w:rsid w:val="15812A45"/>
    <w:rsid w:val="1631571A"/>
    <w:rsid w:val="17133359"/>
    <w:rsid w:val="18276A54"/>
    <w:rsid w:val="19626851"/>
    <w:rsid w:val="1A483201"/>
    <w:rsid w:val="1AF15BD5"/>
    <w:rsid w:val="1D0E4DCA"/>
    <w:rsid w:val="1DCD4FA0"/>
    <w:rsid w:val="1EC5648C"/>
    <w:rsid w:val="1EEC29D4"/>
    <w:rsid w:val="20353F57"/>
    <w:rsid w:val="22703398"/>
    <w:rsid w:val="24976248"/>
    <w:rsid w:val="24E542B2"/>
    <w:rsid w:val="25003FDE"/>
    <w:rsid w:val="25407D16"/>
    <w:rsid w:val="25D47A2C"/>
    <w:rsid w:val="26034AD3"/>
    <w:rsid w:val="265A6D6B"/>
    <w:rsid w:val="26A03147"/>
    <w:rsid w:val="26BC7D90"/>
    <w:rsid w:val="27782269"/>
    <w:rsid w:val="28E700C4"/>
    <w:rsid w:val="2A307897"/>
    <w:rsid w:val="2A3A21AE"/>
    <w:rsid w:val="2AA34CC0"/>
    <w:rsid w:val="2D362858"/>
    <w:rsid w:val="30481C3A"/>
    <w:rsid w:val="30673AA9"/>
    <w:rsid w:val="30F37B0B"/>
    <w:rsid w:val="316117B5"/>
    <w:rsid w:val="32CE18CE"/>
    <w:rsid w:val="331F3435"/>
    <w:rsid w:val="33302E2E"/>
    <w:rsid w:val="33E971EE"/>
    <w:rsid w:val="35B66EA3"/>
    <w:rsid w:val="35F7037B"/>
    <w:rsid w:val="3604449F"/>
    <w:rsid w:val="36327236"/>
    <w:rsid w:val="377E5D58"/>
    <w:rsid w:val="385E6AE5"/>
    <w:rsid w:val="389D13B9"/>
    <w:rsid w:val="390D26CF"/>
    <w:rsid w:val="39B6242B"/>
    <w:rsid w:val="39E842B9"/>
    <w:rsid w:val="3C0C4A9A"/>
    <w:rsid w:val="3D8B4287"/>
    <w:rsid w:val="3E1D5959"/>
    <w:rsid w:val="3E2F0C3C"/>
    <w:rsid w:val="405D22BA"/>
    <w:rsid w:val="418C67F6"/>
    <w:rsid w:val="418E2B7C"/>
    <w:rsid w:val="45AA6F6F"/>
    <w:rsid w:val="45DA7122"/>
    <w:rsid w:val="464D6940"/>
    <w:rsid w:val="47EC5F75"/>
    <w:rsid w:val="484164CF"/>
    <w:rsid w:val="484A4868"/>
    <w:rsid w:val="484F48F4"/>
    <w:rsid w:val="4B7137DB"/>
    <w:rsid w:val="4D46517C"/>
    <w:rsid w:val="4DC32E11"/>
    <w:rsid w:val="4EB83E58"/>
    <w:rsid w:val="4EEE4EC9"/>
    <w:rsid w:val="5065451B"/>
    <w:rsid w:val="52230864"/>
    <w:rsid w:val="53132108"/>
    <w:rsid w:val="54693859"/>
    <w:rsid w:val="551C16C9"/>
    <w:rsid w:val="55F26890"/>
    <w:rsid w:val="5647069A"/>
    <w:rsid w:val="569B6D5B"/>
    <w:rsid w:val="59BF1A65"/>
    <w:rsid w:val="5A2C7C0A"/>
    <w:rsid w:val="5A547CF5"/>
    <w:rsid w:val="5AC002EC"/>
    <w:rsid w:val="5B0F647C"/>
    <w:rsid w:val="5B8104D4"/>
    <w:rsid w:val="5BF41AFE"/>
    <w:rsid w:val="5C411A0F"/>
    <w:rsid w:val="5C8D1598"/>
    <w:rsid w:val="5D6C3433"/>
    <w:rsid w:val="60781EF7"/>
    <w:rsid w:val="60E4057C"/>
    <w:rsid w:val="637D0A8C"/>
    <w:rsid w:val="63C56334"/>
    <w:rsid w:val="63F60908"/>
    <w:rsid w:val="64B21DE4"/>
    <w:rsid w:val="658845F7"/>
    <w:rsid w:val="67010372"/>
    <w:rsid w:val="67456812"/>
    <w:rsid w:val="68EE4C77"/>
    <w:rsid w:val="6A200D50"/>
    <w:rsid w:val="6B9E64FB"/>
    <w:rsid w:val="6C8D0DE8"/>
    <w:rsid w:val="6D197F5B"/>
    <w:rsid w:val="6D78129B"/>
    <w:rsid w:val="6EC16FCD"/>
    <w:rsid w:val="6ED91EE1"/>
    <w:rsid w:val="6F9326E7"/>
    <w:rsid w:val="720B23B8"/>
    <w:rsid w:val="748F427D"/>
    <w:rsid w:val="762320A0"/>
    <w:rsid w:val="763B629A"/>
    <w:rsid w:val="7652592F"/>
    <w:rsid w:val="77990D78"/>
    <w:rsid w:val="78D9034E"/>
    <w:rsid w:val="79CA3CEB"/>
    <w:rsid w:val="7B0C2D7D"/>
    <w:rsid w:val="7B89575E"/>
    <w:rsid w:val="7B8B5C4F"/>
    <w:rsid w:val="7CD5616B"/>
    <w:rsid w:val="7E3C523D"/>
    <w:rsid w:val="7E9C256A"/>
    <w:rsid w:val="7EA7786C"/>
    <w:rsid w:val="7F727691"/>
    <w:rsid w:val="EFDF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qFormat/>
    <w:uiPriority w:val="34"/>
    <w:pPr>
      <w:ind w:firstLine="420" w:firstLineChars="200"/>
    </w:p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eastAsia" w:ascii="黑体" w:hAnsi="黑体" w:eastAsia="黑体" w:cs="Times New Roman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2838</Words>
  <Characters>3308</Characters>
  <Lines>18</Lines>
  <Paragraphs>5</Paragraphs>
  <TotalTime>6</TotalTime>
  <ScaleCrop>false</ScaleCrop>
  <LinksUpToDate>false</LinksUpToDate>
  <CharactersWithSpaces>3521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2015-06-04T10:34:00Z</dcterms:created>
  <dc:creator>Windows 用户</dc:creator>
  <cp:lastModifiedBy>陈子钦</cp:lastModifiedBy>
  <cp:lastPrinted>2015-06-04T15:20:00Z</cp:lastPrinted>
  <dcterms:modified xsi:type="dcterms:W3CDTF">2026-09-22T07:00:15Z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BCF8C8DB900544889F7722A8FE645883_13</vt:lpwstr>
  </property>
  <property fmtid="{D5CDD505-2E9C-101B-9397-08002B2CF9AE}" pid="4" name="KSOTemplateDocerSaveRecord">
    <vt:lpwstr>eyJoZGlkIjoiMGU0NzVjNDQ1NTM2YThmMjJkODA1NWYxODU0ZDMyMDUiLCJ1c2VySWQiOiIxNjgxODg1MTYwIn0=</vt:lpwstr>
  </property>
</Properties>
</file>