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2"/>
        <w:gridCol w:w="6249"/>
      </w:tblGrid>
      <w:tr w14:paraId="747E0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328C7123">
            <w:pPr>
              <w:spacing w:line="300" w:lineRule="auto"/>
              <w:ind w:right="480" w:firstLine="118" w:firstLineChars="49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v</w:t>
            </w: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1C2F7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32" w:type="dxa"/>
            <w:tcBorders>
              <w:bottom w:val="nil"/>
              <w:right w:val="nil"/>
            </w:tcBorders>
          </w:tcPr>
          <w:p w14:paraId="760A0450">
            <w:pPr>
              <w:numPr>
                <w:ilvl w:val="1"/>
                <w:numId w:val="1"/>
              </w:numPr>
              <w:tabs>
                <w:tab w:val="left" w:pos="459"/>
                <w:tab w:val="clear" w:pos="660"/>
              </w:tabs>
              <w:spacing w:line="300" w:lineRule="auto"/>
              <w:ind w:left="523" w:hanging="523" w:hangingChars="217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49" w:type="dxa"/>
            <w:tcBorders>
              <w:left w:val="nil"/>
              <w:bottom w:val="nil"/>
            </w:tcBorders>
            <w:vAlign w:val="center"/>
          </w:tcPr>
          <w:p w14:paraId="537A467B">
            <w:pPr>
              <w:spacing w:line="300" w:lineRule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PA-</w:t>
            </w:r>
            <w:r>
              <w:rPr>
                <w:rFonts w:hint="eastAsia"/>
                <w:sz w:val="24"/>
                <w:lang w:val="en-US" w:eastAsia="zh-CN"/>
              </w:rPr>
              <w:t>3223</w:t>
            </w:r>
          </w:p>
        </w:tc>
      </w:tr>
      <w:tr w14:paraId="0C5DE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32" w:type="dxa"/>
            <w:tcBorders>
              <w:top w:val="nil"/>
              <w:bottom w:val="nil"/>
              <w:right w:val="nil"/>
            </w:tcBorders>
          </w:tcPr>
          <w:p w14:paraId="7F432595">
            <w:pPr>
              <w:tabs>
                <w:tab w:val="left" w:pos="459"/>
              </w:tabs>
              <w:spacing w:line="300" w:lineRule="auto"/>
              <w:ind w:left="457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</w:tcBorders>
          </w:tcPr>
          <w:p w14:paraId="513DEF9C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羟基丙烯酸分散体</w:t>
            </w:r>
          </w:p>
        </w:tc>
      </w:tr>
      <w:tr w14:paraId="145C6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32" w:type="dxa"/>
            <w:tcBorders>
              <w:top w:val="nil"/>
              <w:bottom w:val="nil"/>
              <w:right w:val="nil"/>
            </w:tcBorders>
          </w:tcPr>
          <w:p w14:paraId="131C03AC">
            <w:pPr>
              <w:tabs>
                <w:tab w:val="left" w:pos="459"/>
              </w:tabs>
              <w:spacing w:line="300" w:lineRule="auto"/>
              <w:ind w:left="457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</w:tcBorders>
          </w:tcPr>
          <w:p w14:paraId="1484505E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丙烯酸聚合物分散体</w:t>
            </w:r>
          </w:p>
        </w:tc>
      </w:tr>
      <w:tr w14:paraId="2E7B9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32" w:type="dxa"/>
            <w:tcBorders>
              <w:top w:val="nil"/>
              <w:bottom w:val="nil"/>
              <w:right w:val="nil"/>
            </w:tcBorders>
          </w:tcPr>
          <w:p w14:paraId="48CA894D">
            <w:pPr>
              <w:numPr>
                <w:ilvl w:val="1"/>
                <w:numId w:val="1"/>
              </w:numPr>
              <w:tabs>
                <w:tab w:val="left" w:pos="0"/>
                <w:tab w:val="left" w:pos="459"/>
                <w:tab w:val="clear" w:pos="660"/>
              </w:tabs>
              <w:spacing w:line="300" w:lineRule="auto"/>
              <w:ind w:left="523" w:hanging="523" w:hangingChars="217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产品使用建议和使用限制：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</w:tcBorders>
          </w:tcPr>
          <w:p w14:paraId="3E1EA73F">
            <w:pPr>
              <w:spacing w:line="300" w:lineRule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涂料</w:t>
            </w:r>
          </w:p>
        </w:tc>
      </w:tr>
      <w:tr w14:paraId="0A104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32" w:type="dxa"/>
            <w:tcBorders>
              <w:top w:val="nil"/>
              <w:bottom w:val="nil"/>
              <w:right w:val="nil"/>
            </w:tcBorders>
          </w:tcPr>
          <w:p w14:paraId="773E364E">
            <w:pPr>
              <w:numPr>
                <w:ilvl w:val="1"/>
                <w:numId w:val="1"/>
              </w:numPr>
              <w:tabs>
                <w:tab w:val="left" w:pos="459"/>
                <w:tab w:val="clear" w:pos="660"/>
              </w:tabs>
              <w:spacing w:line="300" w:lineRule="auto"/>
              <w:ind w:left="523" w:hanging="523" w:hangingChars="217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</w:tcBorders>
            <w:vAlign w:val="center"/>
          </w:tcPr>
          <w:p w14:paraId="3BE2C067">
            <w:pPr>
              <w:spacing w:line="300" w:lineRule="auto"/>
              <w:rPr>
                <w:sz w:val="24"/>
              </w:rPr>
            </w:pPr>
          </w:p>
        </w:tc>
      </w:tr>
      <w:tr w14:paraId="47B55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32" w:type="dxa"/>
            <w:tcBorders>
              <w:top w:val="nil"/>
              <w:bottom w:val="nil"/>
              <w:right w:val="nil"/>
            </w:tcBorders>
          </w:tcPr>
          <w:p w14:paraId="0822C894">
            <w:pPr>
              <w:tabs>
                <w:tab w:val="left" w:pos="459"/>
              </w:tabs>
              <w:spacing w:line="300" w:lineRule="auto"/>
              <w:ind w:left="458" w:leftChars="218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</w:tcBorders>
            <w:vAlign w:val="center"/>
          </w:tcPr>
          <w:p w14:paraId="54C2BFEC">
            <w:pPr>
              <w:spacing w:line="300" w:lineRule="auto"/>
              <w:rPr>
                <w:rFonts w:cs="宋体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广州冠志新材料科技有限公司</w:t>
            </w:r>
          </w:p>
        </w:tc>
      </w:tr>
      <w:tr w14:paraId="1020C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32" w:type="dxa"/>
            <w:tcBorders>
              <w:top w:val="nil"/>
              <w:bottom w:val="nil"/>
              <w:right w:val="nil"/>
            </w:tcBorders>
          </w:tcPr>
          <w:p w14:paraId="4BBA705F">
            <w:pPr>
              <w:tabs>
                <w:tab w:val="left" w:pos="459"/>
              </w:tabs>
              <w:spacing w:line="300" w:lineRule="auto"/>
              <w:ind w:left="456" w:leftChars="217" w:firstLine="2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</w:tcBorders>
            <w:vAlign w:val="center"/>
          </w:tcPr>
          <w:p w14:paraId="0782C308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广州市萝岗区科学城掬泉路3号广州国际企业孵化器A区1106室</w:t>
            </w:r>
          </w:p>
        </w:tc>
      </w:tr>
      <w:tr w14:paraId="60501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32" w:type="dxa"/>
            <w:tcBorders>
              <w:top w:val="nil"/>
              <w:bottom w:val="nil"/>
              <w:right w:val="nil"/>
            </w:tcBorders>
          </w:tcPr>
          <w:p w14:paraId="7F623F65">
            <w:pPr>
              <w:tabs>
                <w:tab w:val="left" w:pos="459"/>
              </w:tabs>
              <w:spacing w:line="300" w:lineRule="auto"/>
              <w:ind w:left="456" w:leftChars="217" w:right="482" w:firstLine="2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49" w:type="dxa"/>
            <w:tcBorders>
              <w:top w:val="nil"/>
              <w:left w:val="nil"/>
              <w:bottom w:val="nil"/>
            </w:tcBorders>
            <w:vAlign w:val="center"/>
          </w:tcPr>
          <w:p w14:paraId="281B9105">
            <w:pPr>
              <w:spacing w:line="300" w:lineRule="auto"/>
              <w:rPr>
                <w:sz w:val="24"/>
              </w:rPr>
            </w:pPr>
            <w:r>
              <w:rPr>
                <w:sz w:val="24"/>
              </w:rPr>
              <w:t>86-20-</w:t>
            </w:r>
            <w:r>
              <w:rPr>
                <w:rFonts w:hint="eastAsia"/>
                <w:sz w:val="24"/>
              </w:rPr>
              <w:t>82567990</w:t>
            </w:r>
          </w:p>
        </w:tc>
      </w:tr>
      <w:tr w14:paraId="4406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32" w:type="dxa"/>
            <w:tcBorders>
              <w:top w:val="nil"/>
              <w:bottom w:val="single" w:color="auto" w:sz="4" w:space="0"/>
              <w:right w:val="nil"/>
            </w:tcBorders>
          </w:tcPr>
          <w:p w14:paraId="7AE3B9FA">
            <w:pPr>
              <w:tabs>
                <w:tab w:val="left" w:pos="459"/>
              </w:tabs>
              <w:spacing w:line="300" w:lineRule="auto"/>
              <w:ind w:left="456" w:leftChars="217" w:right="482" w:firstLine="2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49" w:type="dxa"/>
            <w:tcBorders>
              <w:top w:val="nil"/>
              <w:left w:val="nil"/>
              <w:bottom w:val="single" w:color="auto" w:sz="4" w:space="0"/>
            </w:tcBorders>
            <w:vAlign w:val="center"/>
          </w:tcPr>
          <w:p w14:paraId="1D98B9CD">
            <w:pPr>
              <w:spacing w:line="300" w:lineRule="auto"/>
              <w:rPr>
                <w:sz w:val="24"/>
              </w:rPr>
            </w:pPr>
            <w:r>
              <w:rPr>
                <w:sz w:val="24"/>
              </w:rPr>
              <w:t>86-20-</w:t>
            </w:r>
            <w:r>
              <w:rPr>
                <w:rFonts w:hint="eastAsia"/>
                <w:sz w:val="24"/>
              </w:rPr>
              <w:t xml:space="preserve">32214789   </w:t>
            </w:r>
          </w:p>
        </w:tc>
      </w:tr>
    </w:tbl>
    <w:p w14:paraId="46143FC1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71247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shd w:val="clear" w:color="auto" w:fill="D9D9D9"/>
          </w:tcPr>
          <w:p w14:paraId="3F61A1ED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</w:t>
            </w:r>
            <w:r>
              <w:rPr>
                <w:rFonts w:hint="eastAsia" w:hAnsi="Arial"/>
                <w:b/>
                <w:sz w:val="24"/>
              </w:rPr>
              <w:t>危险性概述</w:t>
            </w:r>
          </w:p>
        </w:tc>
      </w:tr>
      <w:tr w14:paraId="47FE0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8" w:hRule="atLeast"/>
        </w:trPr>
        <w:tc>
          <w:tcPr>
            <w:tcW w:w="9781" w:type="dxa"/>
          </w:tcPr>
          <w:p w14:paraId="0465734E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GHS危险性类别: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无</w:t>
            </w:r>
          </w:p>
          <w:p w14:paraId="4D8501C7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标签要素：无</w:t>
            </w:r>
          </w:p>
          <w:p w14:paraId="583C7BB4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危险象形标记：无</w:t>
            </w:r>
          </w:p>
          <w:p w14:paraId="04C4C9C9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警告词：警告</w:t>
            </w:r>
          </w:p>
          <w:p w14:paraId="79275978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危害性说明:没有明显的已知作用或严重危险。</w:t>
            </w:r>
          </w:p>
          <w:p w14:paraId="05423AAD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防范说明:</w:t>
            </w:r>
          </w:p>
          <w:p w14:paraId="6544D053">
            <w:pPr>
              <w:spacing w:line="30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预防措施：</w:t>
            </w:r>
          </w:p>
          <w:p w14:paraId="52D43DF3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      </w:t>
            </w:r>
            <w:r>
              <w:rPr>
                <w:rFonts w:hint="eastAsia"/>
                <w:sz w:val="24"/>
              </w:rPr>
              <w:t>操作时穿戴必要的防护用品（手套、防护镜、工作服等）。</w:t>
            </w:r>
          </w:p>
          <w:p w14:paraId="5E60DD95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      </w:t>
            </w:r>
            <w:r>
              <w:rPr>
                <w:rFonts w:hint="eastAsia"/>
                <w:sz w:val="24"/>
              </w:rPr>
              <w:t>操作后彻底清洗身体接触部位。</w:t>
            </w:r>
          </w:p>
          <w:p w14:paraId="30FDF62B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      </w:t>
            </w:r>
            <w:r>
              <w:rPr>
                <w:rFonts w:hint="eastAsia"/>
                <w:sz w:val="24"/>
              </w:rPr>
              <w:t>作业场所不得进食，饮水或吸烟。</w:t>
            </w:r>
          </w:p>
          <w:p w14:paraId="241BC2EA">
            <w:pPr>
              <w:spacing w:line="300" w:lineRule="auto"/>
              <w:ind w:firstLine="960" w:firstLineChars="400"/>
              <w:rPr>
                <w:sz w:val="24"/>
              </w:rPr>
            </w:pPr>
            <w:r>
              <w:rPr>
                <w:rFonts w:hint="eastAsia"/>
                <w:sz w:val="24"/>
              </w:rPr>
              <w:t>在室外或通风良好处操作。</w:t>
            </w:r>
          </w:p>
          <w:p w14:paraId="7EE30055">
            <w:pPr>
              <w:spacing w:line="30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事故响应：</w:t>
            </w:r>
          </w:p>
          <w:p w14:paraId="7F823059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      </w:t>
            </w:r>
            <w:r>
              <w:rPr>
                <w:rFonts w:hint="eastAsia"/>
                <w:sz w:val="24"/>
              </w:rPr>
              <w:t>吸入：一旦吸入，如有不适，就医。</w:t>
            </w:r>
          </w:p>
          <w:p w14:paraId="287BF0AE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      </w:t>
            </w:r>
            <w:r>
              <w:rPr>
                <w:rFonts w:hint="eastAsia"/>
                <w:sz w:val="24"/>
              </w:rPr>
              <w:t>眼睛、皮肤接触；使用肥皂、清水等清洗即可。如有不适感，就医。</w:t>
            </w:r>
          </w:p>
          <w:p w14:paraId="3F63DC96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      </w:t>
            </w:r>
            <w:r>
              <w:rPr>
                <w:rFonts w:hint="eastAsia"/>
                <w:sz w:val="24"/>
              </w:rPr>
              <w:t>食入：立即漱口，禁止催吐，立即就医诊治。</w:t>
            </w:r>
          </w:p>
          <w:p w14:paraId="654CBFC5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      </w:t>
            </w:r>
            <w:r>
              <w:rPr>
                <w:rFonts w:hint="eastAsia"/>
                <w:sz w:val="24"/>
              </w:rPr>
              <w:t>泄露：收集泄漏物。</w:t>
            </w:r>
          </w:p>
          <w:p w14:paraId="24C809BE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      </w:t>
            </w:r>
            <w:r>
              <w:rPr>
                <w:rFonts w:hint="eastAsia"/>
                <w:sz w:val="24"/>
              </w:rPr>
              <w:t>灭火：火灾时，使用干粉、泡沫、二氧化碳灭火。</w:t>
            </w:r>
          </w:p>
          <w:p w14:paraId="32FC294C">
            <w:pPr>
              <w:spacing w:line="30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安全存储：</w:t>
            </w:r>
          </w:p>
          <w:p w14:paraId="227E4C21">
            <w:pPr>
              <w:spacing w:line="30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>请置于避光、阴凉干燥处存放，存储温度应保持在5-35℃，避免霜冻，保持产品包装完整。每次取用之后立即密封，打开包装后尽快使用完毕。</w:t>
            </w:r>
          </w:p>
          <w:p w14:paraId="6B327381">
            <w:pPr>
              <w:spacing w:line="30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废弃处置：</w:t>
            </w:r>
          </w:p>
          <w:p w14:paraId="01AAF753">
            <w:pPr>
              <w:spacing w:line="30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>使用后的空桶未经无害化处理前，不得存储食物及其他物品，以免对人体、环境造成危害；包装物的回收、利用、处置应符合国家及当地相关法律、法规规定，因包装物处置不当造成的危害及损失，由处置方承担。</w:t>
            </w:r>
          </w:p>
          <w:p w14:paraId="3528CB26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物理化学危险：对水体、土壤可造成一定的污染。</w:t>
            </w:r>
          </w:p>
          <w:p w14:paraId="65B35BD3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健康危害：无</w:t>
            </w:r>
          </w:p>
          <w:p w14:paraId="3696A406">
            <w:pPr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环境危害：无危险物质释放，防止进入下水道，以防聚合物沉积阻塞下水道。</w:t>
            </w:r>
          </w:p>
        </w:tc>
      </w:tr>
    </w:tbl>
    <w:p w14:paraId="0512C23D">
      <w:pPr>
        <w:spacing w:line="300" w:lineRule="auto"/>
        <w:ind w:right="480"/>
        <w:rPr>
          <w:sz w:val="24"/>
        </w:rPr>
      </w:pPr>
    </w:p>
    <w:p w14:paraId="074E1781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2"/>
        <w:gridCol w:w="2770"/>
        <w:gridCol w:w="3109"/>
      </w:tblGrid>
      <w:tr w14:paraId="3E610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55886BC7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48739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902" w:type="dxa"/>
            <w:tcBorders>
              <w:bottom w:val="nil"/>
              <w:right w:val="nil"/>
            </w:tcBorders>
          </w:tcPr>
          <w:p w14:paraId="16011338">
            <w:pPr>
              <w:numPr>
                <w:ilvl w:val="1"/>
                <w:numId w:val="2"/>
              </w:numPr>
              <w:tabs>
                <w:tab w:val="clear" w:pos="540"/>
              </w:tabs>
              <w:spacing w:line="300" w:lineRule="auto"/>
              <w:ind w:left="459" w:right="34" w:hanging="459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5879" w:type="dxa"/>
            <w:gridSpan w:val="2"/>
            <w:tcBorders>
              <w:left w:val="nil"/>
              <w:bottom w:val="nil"/>
            </w:tcBorders>
          </w:tcPr>
          <w:p w14:paraId="12D2AA79">
            <w:pPr>
              <w:spacing w:line="300" w:lineRule="auto"/>
              <w:ind w:right="480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混合物</w:t>
            </w:r>
          </w:p>
        </w:tc>
      </w:tr>
      <w:tr w14:paraId="223AB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902" w:type="dxa"/>
            <w:tcBorders>
              <w:top w:val="nil"/>
              <w:bottom w:val="nil"/>
              <w:right w:val="nil"/>
            </w:tcBorders>
          </w:tcPr>
          <w:p w14:paraId="388933BF">
            <w:pPr>
              <w:numPr>
                <w:ilvl w:val="1"/>
                <w:numId w:val="2"/>
              </w:numPr>
              <w:tabs>
                <w:tab w:val="clear" w:pos="540"/>
              </w:tabs>
              <w:spacing w:line="300" w:lineRule="auto"/>
              <w:ind w:left="459" w:right="34" w:hanging="459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2770" w:type="dxa"/>
            <w:tcBorders>
              <w:top w:val="nil"/>
              <w:left w:val="nil"/>
              <w:bottom w:val="nil"/>
              <w:right w:val="nil"/>
            </w:tcBorders>
          </w:tcPr>
          <w:p w14:paraId="4177B1D0">
            <w:pPr>
              <w:spacing w:line="300" w:lineRule="auto"/>
              <w:ind w:right="34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nil"/>
              <w:left w:val="nil"/>
              <w:bottom w:val="nil"/>
            </w:tcBorders>
          </w:tcPr>
          <w:p w14:paraId="050721BF">
            <w:pPr>
              <w:spacing w:line="300" w:lineRule="auto"/>
              <w:ind w:right="34"/>
              <w:rPr>
                <w:b/>
                <w:sz w:val="24"/>
              </w:rPr>
            </w:pPr>
          </w:p>
        </w:tc>
      </w:tr>
      <w:tr w14:paraId="43770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902" w:type="dxa"/>
            <w:tcBorders>
              <w:top w:val="nil"/>
              <w:bottom w:val="nil"/>
              <w:right w:val="nil"/>
            </w:tcBorders>
          </w:tcPr>
          <w:p w14:paraId="0D27057B">
            <w:pPr>
              <w:spacing w:line="300" w:lineRule="auto"/>
              <w:ind w:left="459" w:right="34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2770" w:type="dxa"/>
            <w:tcBorders>
              <w:top w:val="nil"/>
              <w:left w:val="nil"/>
              <w:bottom w:val="nil"/>
              <w:right w:val="nil"/>
            </w:tcBorders>
          </w:tcPr>
          <w:p w14:paraId="7BCD7173">
            <w:pPr>
              <w:spacing w:line="300" w:lineRule="auto"/>
              <w:ind w:right="480" w:firstLine="720" w:firstLineChars="300"/>
              <w:rPr>
                <w:sz w:val="24"/>
                <w:u w:val="single"/>
              </w:rPr>
            </w:pPr>
            <w:r>
              <w:rPr>
                <w:sz w:val="24"/>
                <w:u w:val="single"/>
              </w:rPr>
              <w:t>CAS</w:t>
            </w:r>
            <w:r>
              <w:rPr>
                <w:rFonts w:hint="eastAsia"/>
                <w:sz w:val="24"/>
                <w:u w:val="single"/>
              </w:rPr>
              <w:t>编号</w:t>
            </w:r>
          </w:p>
        </w:tc>
        <w:tc>
          <w:tcPr>
            <w:tcW w:w="3109" w:type="dxa"/>
            <w:tcBorders>
              <w:top w:val="nil"/>
              <w:left w:val="nil"/>
              <w:bottom w:val="nil"/>
            </w:tcBorders>
          </w:tcPr>
          <w:p w14:paraId="23ACA907">
            <w:pPr>
              <w:spacing w:line="300" w:lineRule="auto"/>
              <w:ind w:right="480"/>
              <w:jc w:val="center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>%</w:t>
            </w:r>
            <w:r>
              <w:rPr>
                <w:rFonts w:hint="eastAsia" w:hAnsi="Arial"/>
                <w:sz w:val="24"/>
                <w:u w:val="single"/>
              </w:rPr>
              <w:t>（</w:t>
            </w:r>
            <w:r>
              <w:rPr>
                <w:sz w:val="24"/>
                <w:u w:val="single"/>
              </w:rPr>
              <w:t>w/w</w:t>
            </w:r>
            <w:r>
              <w:rPr>
                <w:rFonts w:hint="eastAsia" w:hAnsi="Arial"/>
                <w:sz w:val="24"/>
                <w:u w:val="single"/>
              </w:rPr>
              <w:t>）</w:t>
            </w:r>
          </w:p>
        </w:tc>
      </w:tr>
      <w:tr w14:paraId="3719C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902" w:type="dxa"/>
            <w:tcBorders>
              <w:top w:val="nil"/>
              <w:bottom w:val="nil"/>
              <w:right w:val="nil"/>
            </w:tcBorders>
          </w:tcPr>
          <w:p w14:paraId="07484DDB">
            <w:pPr>
              <w:spacing w:line="300" w:lineRule="auto"/>
              <w:ind w:right="48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羟基丙烯酸酯聚合物</w:t>
            </w:r>
          </w:p>
          <w:p w14:paraId="62B363A3">
            <w:pPr>
              <w:spacing w:line="300" w:lineRule="auto"/>
              <w:ind w:right="48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水</w:t>
            </w:r>
          </w:p>
          <w:p w14:paraId="3B172D28">
            <w:pPr>
              <w:spacing w:line="300" w:lineRule="auto"/>
              <w:ind w:right="48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丙二醇丁醚</w:t>
            </w:r>
          </w:p>
          <w:p w14:paraId="14D65F90">
            <w:pPr>
              <w:spacing w:line="300" w:lineRule="auto"/>
              <w:ind w:right="48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N,N二甲基乙醇胺</w:t>
            </w:r>
          </w:p>
          <w:p w14:paraId="4A5EE673">
            <w:pPr>
              <w:spacing w:line="300" w:lineRule="auto"/>
              <w:ind w:right="480"/>
              <w:jc w:val="center"/>
              <w:rPr>
                <w:sz w:val="24"/>
              </w:rPr>
            </w:pPr>
          </w:p>
          <w:p w14:paraId="09C6D62E">
            <w:pPr>
              <w:spacing w:line="300" w:lineRule="auto"/>
              <w:ind w:right="480"/>
              <w:jc w:val="center"/>
              <w:rPr>
                <w:rFonts w:hint="eastAsia"/>
                <w:sz w:val="24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56C872">
            <w:pPr>
              <w:spacing w:line="300" w:lineRule="auto"/>
              <w:ind w:right="48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商业机密</w:t>
            </w:r>
          </w:p>
          <w:p w14:paraId="3EE2E9DD">
            <w:pPr>
              <w:spacing w:line="300" w:lineRule="auto"/>
              <w:ind w:right="48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7732-18-5</w:t>
            </w:r>
          </w:p>
          <w:p w14:paraId="7346A1AE">
            <w:pPr>
              <w:spacing w:line="300" w:lineRule="auto"/>
              <w:ind w:right="48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5131-66-8</w:t>
            </w:r>
          </w:p>
          <w:p w14:paraId="6DEF4638">
            <w:pPr>
              <w:spacing w:line="300" w:lineRule="auto"/>
              <w:ind w:right="48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108-01-0</w:t>
            </w:r>
          </w:p>
          <w:p w14:paraId="6148D299">
            <w:pPr>
              <w:spacing w:line="300" w:lineRule="auto"/>
              <w:ind w:right="480"/>
              <w:jc w:val="center"/>
              <w:rPr>
                <w:sz w:val="24"/>
              </w:rPr>
            </w:pPr>
          </w:p>
          <w:p w14:paraId="09090311">
            <w:pPr>
              <w:spacing w:line="300" w:lineRule="auto"/>
              <w:ind w:right="480"/>
              <w:jc w:val="center"/>
              <w:rPr>
                <w:rFonts w:hint="eastAsia"/>
                <w:sz w:val="24"/>
              </w:rPr>
            </w:pPr>
          </w:p>
        </w:tc>
        <w:tc>
          <w:tcPr>
            <w:tcW w:w="3109" w:type="dxa"/>
            <w:tcBorders>
              <w:top w:val="nil"/>
              <w:left w:val="nil"/>
              <w:bottom w:val="nil"/>
            </w:tcBorders>
            <w:vAlign w:val="center"/>
          </w:tcPr>
          <w:p w14:paraId="2E683FA5">
            <w:pPr>
              <w:spacing w:line="300" w:lineRule="auto"/>
              <w:ind w:right="480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46±5</w:t>
            </w:r>
          </w:p>
          <w:p w14:paraId="17CCA857">
            <w:pPr>
              <w:spacing w:line="300" w:lineRule="auto"/>
              <w:ind w:right="480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45.5±5</w:t>
            </w:r>
          </w:p>
          <w:p w14:paraId="249B2E19">
            <w:pPr>
              <w:spacing w:line="300" w:lineRule="auto"/>
              <w:ind w:right="480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7±3</w:t>
            </w:r>
          </w:p>
          <w:p w14:paraId="43E1FD80">
            <w:pPr>
              <w:spacing w:line="300" w:lineRule="auto"/>
              <w:ind w:right="480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1</w:t>
            </w:r>
            <w:r>
              <w:rPr>
                <w:rFonts w:hint="eastAsia"/>
                <w:sz w:val="24"/>
              </w:rPr>
              <w:t>.5</w:t>
            </w:r>
            <w:r>
              <w:rPr>
                <w:rFonts w:hint="eastAsia"/>
                <w:sz w:val="24"/>
                <w:lang w:val="en-US" w:eastAsia="zh-CN"/>
              </w:rPr>
              <w:t>±0.5</w:t>
            </w:r>
          </w:p>
          <w:p w14:paraId="5EF7F41C">
            <w:pPr>
              <w:spacing w:line="300" w:lineRule="auto"/>
              <w:ind w:right="480"/>
              <w:jc w:val="center"/>
              <w:rPr>
                <w:sz w:val="24"/>
              </w:rPr>
            </w:pPr>
          </w:p>
          <w:p w14:paraId="18BDB762">
            <w:pPr>
              <w:spacing w:line="300" w:lineRule="auto"/>
              <w:ind w:right="480"/>
              <w:jc w:val="center"/>
              <w:rPr>
                <w:rFonts w:hint="eastAsia"/>
                <w:sz w:val="24"/>
              </w:rPr>
            </w:pPr>
          </w:p>
        </w:tc>
      </w:tr>
      <w:tr w14:paraId="07CB8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9781" w:type="dxa"/>
            <w:gridSpan w:val="3"/>
            <w:tcBorders>
              <w:top w:val="nil"/>
              <w:bottom w:val="single" w:color="auto" w:sz="4" w:space="0"/>
            </w:tcBorders>
          </w:tcPr>
          <w:p w14:paraId="2F82F9F4">
            <w:pPr>
              <w:spacing w:line="300" w:lineRule="auto"/>
              <w:ind w:right="480"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羟基丙烯酸酯聚合物GHS危险性分类：不适用</w:t>
            </w:r>
          </w:p>
          <w:p w14:paraId="61CCEEAE">
            <w:pPr>
              <w:spacing w:line="300" w:lineRule="auto"/>
              <w:ind w:right="480"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请注意以下物质：</w:t>
            </w:r>
          </w:p>
          <w:p w14:paraId="7FCB43C9">
            <w:pPr>
              <w:spacing w:line="300" w:lineRule="auto"/>
              <w:ind w:right="480"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N</w:t>
            </w:r>
            <w:r>
              <w:rPr>
                <w:sz w:val="24"/>
              </w:rPr>
              <w:t>,N-</w:t>
            </w:r>
            <w:r>
              <w:rPr>
                <w:rFonts w:hint="eastAsia"/>
                <w:sz w:val="24"/>
              </w:rPr>
              <w:t>二甲基乙醇胺，中和剂，已键合为盐，质量浓度小于2.0%</w:t>
            </w:r>
          </w:p>
          <w:p w14:paraId="4F75EC10">
            <w:pPr>
              <w:spacing w:line="300" w:lineRule="auto"/>
              <w:ind w:right="480"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GHS分类：依然液体3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H226；急性毒性4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吸入性 H332；急性毒性4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经皮H312；皮肤腐蚀1</w:t>
            </w:r>
            <w:r>
              <w:rPr>
                <w:sz w:val="24"/>
              </w:rPr>
              <w:t>B H314</w:t>
            </w:r>
            <w:r>
              <w:rPr>
                <w:rFonts w:hint="eastAsia"/>
                <w:sz w:val="24"/>
              </w:rPr>
              <w:t>；特异性靶器官系统毒性（一次接触）3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H335</w:t>
            </w:r>
          </w:p>
          <w:p w14:paraId="19EDEFE4">
            <w:pPr>
              <w:spacing w:line="300" w:lineRule="auto"/>
              <w:ind w:right="480"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特定阈值浓度≥5%</w:t>
            </w:r>
          </w:p>
          <w:p w14:paraId="298AF755">
            <w:pPr>
              <w:spacing w:line="300" w:lineRule="auto"/>
              <w:ind w:right="480" w:firstLine="480" w:firstLineChars="20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特异性靶器官系统毒性（一次接触）3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H335</w:t>
            </w:r>
          </w:p>
        </w:tc>
      </w:tr>
    </w:tbl>
    <w:p w14:paraId="6963DD4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9"/>
        <w:gridCol w:w="6676"/>
      </w:tblGrid>
      <w:tr w14:paraId="71678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29EB3912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0AFAD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119" w:type="dxa"/>
            <w:tcBorders>
              <w:top w:val="single" w:color="auto" w:sz="4" w:space="0"/>
              <w:bottom w:val="nil"/>
              <w:right w:val="nil"/>
            </w:tcBorders>
          </w:tcPr>
          <w:p w14:paraId="2B06A050">
            <w:pPr>
              <w:numPr>
                <w:ilvl w:val="0"/>
                <w:numId w:val="3"/>
              </w:numPr>
              <w:spacing w:line="300" w:lineRule="auto"/>
              <w:jc w:val="left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676" w:type="dxa"/>
            <w:tcBorders>
              <w:top w:val="single" w:color="auto" w:sz="4" w:space="0"/>
              <w:left w:val="nil"/>
              <w:bottom w:val="nil"/>
            </w:tcBorders>
          </w:tcPr>
          <w:p w14:paraId="7082204F">
            <w:pPr>
              <w:spacing w:line="300" w:lineRule="auto"/>
              <w:jc w:val="left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立即脱掉所有被污染的衣物。</w:t>
            </w:r>
          </w:p>
        </w:tc>
      </w:tr>
      <w:tr w14:paraId="14F05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119" w:type="dxa"/>
            <w:tcBorders>
              <w:top w:val="nil"/>
              <w:bottom w:val="nil"/>
              <w:right w:val="nil"/>
            </w:tcBorders>
          </w:tcPr>
          <w:p w14:paraId="0824C7C4">
            <w:pPr>
              <w:numPr>
                <w:ilvl w:val="0"/>
                <w:numId w:val="3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676" w:type="dxa"/>
            <w:tcBorders>
              <w:top w:val="nil"/>
              <w:left w:val="nil"/>
              <w:bottom w:val="nil"/>
            </w:tcBorders>
          </w:tcPr>
          <w:p w14:paraId="725BE91E">
            <w:pPr>
              <w:spacing w:line="300" w:lineRule="auto"/>
              <w:ind w:left="47" w:leftChars="19" w:hanging="7" w:hangingChars="3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禁止催吐，须就医。</w:t>
            </w:r>
          </w:p>
        </w:tc>
      </w:tr>
      <w:tr w14:paraId="26AD3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119" w:type="dxa"/>
            <w:tcBorders>
              <w:top w:val="nil"/>
              <w:bottom w:val="nil"/>
              <w:right w:val="nil"/>
            </w:tcBorders>
          </w:tcPr>
          <w:p w14:paraId="7BF71EB9">
            <w:pPr>
              <w:numPr>
                <w:ilvl w:val="0"/>
                <w:numId w:val="3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676" w:type="dxa"/>
            <w:tcBorders>
              <w:top w:val="nil"/>
              <w:left w:val="nil"/>
              <w:bottom w:val="nil"/>
            </w:tcBorders>
          </w:tcPr>
          <w:p w14:paraId="28AB80E2">
            <w:p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撑开眼睑，用温水长时间冲洗（至少</w:t>
            </w:r>
            <w:r>
              <w:rPr>
                <w:sz w:val="24"/>
              </w:rPr>
              <w:t>10</w:t>
            </w:r>
            <w:r>
              <w:rPr>
                <w:rFonts w:hint="eastAsia"/>
                <w:sz w:val="24"/>
              </w:rPr>
              <w:t>分钟），就诊眼科医生。</w:t>
            </w:r>
          </w:p>
        </w:tc>
      </w:tr>
      <w:tr w14:paraId="43E30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119" w:type="dxa"/>
            <w:tcBorders>
              <w:top w:val="nil"/>
              <w:bottom w:val="nil"/>
              <w:right w:val="nil"/>
            </w:tcBorders>
          </w:tcPr>
          <w:p w14:paraId="329E8D64">
            <w:pPr>
              <w:numPr>
                <w:ilvl w:val="0"/>
                <w:numId w:val="3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676" w:type="dxa"/>
            <w:tcBorders>
              <w:top w:val="nil"/>
              <w:left w:val="nil"/>
              <w:bottom w:val="nil"/>
            </w:tcBorders>
          </w:tcPr>
          <w:p w14:paraId="68B9B1F6">
            <w:p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立即用肥皂和大量的水冲洗。若发生皮肤反应，就医</w:t>
            </w:r>
          </w:p>
        </w:tc>
      </w:tr>
      <w:tr w14:paraId="7C01F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" w:hRule="atLeast"/>
        </w:trPr>
        <w:tc>
          <w:tcPr>
            <w:tcW w:w="3119" w:type="dxa"/>
            <w:tcBorders>
              <w:top w:val="nil"/>
              <w:bottom w:val="single" w:color="auto" w:sz="4" w:space="0"/>
              <w:right w:val="nil"/>
            </w:tcBorders>
          </w:tcPr>
          <w:p w14:paraId="7B4DA0F7">
            <w:pPr>
              <w:numPr>
                <w:ilvl w:val="0"/>
                <w:numId w:val="3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676" w:type="dxa"/>
            <w:tcBorders>
              <w:top w:val="nil"/>
              <w:left w:val="nil"/>
              <w:bottom w:val="single" w:color="auto" w:sz="4" w:space="0"/>
            </w:tcBorders>
          </w:tcPr>
          <w:p w14:paraId="0F9270EC">
            <w:pPr>
              <w:spacing w:line="300" w:lineRule="auto"/>
              <w:ind w:left="47" w:leftChars="19" w:hanging="7" w:hangingChars="3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若刺激呼吸道，就医。</w:t>
            </w:r>
          </w:p>
        </w:tc>
      </w:tr>
    </w:tbl>
    <w:p w14:paraId="52AB49A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6379"/>
      </w:tblGrid>
      <w:tr w14:paraId="4474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2584C4B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76C02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402" w:type="dxa"/>
            <w:tcBorders>
              <w:top w:val="single" w:color="auto" w:sz="4" w:space="0"/>
            </w:tcBorders>
          </w:tcPr>
          <w:p w14:paraId="599E690F">
            <w:pPr>
              <w:numPr>
                <w:ilvl w:val="0"/>
                <w:numId w:val="4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379" w:type="dxa"/>
            <w:tcBorders>
              <w:top w:val="single" w:color="auto" w:sz="4" w:space="0"/>
            </w:tcBorders>
          </w:tcPr>
          <w:p w14:paraId="56EFF345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二氧化碳（</w:t>
            </w:r>
            <w:r>
              <w:rPr>
                <w:sz w:val="24"/>
              </w:rPr>
              <w:t>CO</w:t>
            </w:r>
            <w:r>
              <w:rPr>
                <w:sz w:val="24"/>
                <w:vertAlign w:val="subscript"/>
              </w:rPr>
              <w:t>2</w:t>
            </w:r>
            <w:r>
              <w:rPr>
                <w:rFonts w:hint="eastAsia"/>
                <w:sz w:val="24"/>
              </w:rPr>
              <w:t>），泡沫，灭火粉末，大火时应用喷洒水</w:t>
            </w:r>
          </w:p>
        </w:tc>
      </w:tr>
      <w:tr w14:paraId="6B6C8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402" w:type="dxa"/>
          </w:tcPr>
          <w:p w14:paraId="573B6460">
            <w:pPr>
              <w:numPr>
                <w:ilvl w:val="0"/>
                <w:numId w:val="4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379" w:type="dxa"/>
          </w:tcPr>
          <w:p w14:paraId="037925EA">
            <w:pPr>
              <w:tabs>
                <w:tab w:val="left" w:pos="-108"/>
              </w:tabs>
              <w:spacing w:line="300" w:lineRule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高流量的水喷射</w:t>
            </w:r>
          </w:p>
        </w:tc>
      </w:tr>
      <w:tr w14:paraId="0C27C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402" w:type="dxa"/>
          </w:tcPr>
          <w:p w14:paraId="24208281">
            <w:pPr>
              <w:numPr>
                <w:ilvl w:val="0"/>
                <w:numId w:val="4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379" w:type="dxa"/>
          </w:tcPr>
          <w:p w14:paraId="2386E501">
            <w:pPr>
              <w:spacing w:line="300" w:lineRule="auto"/>
              <w:ind w:left="34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燃烧时释放一氧化碳、二氧化碳、氮氧化物和少量的氰化氢</w:t>
            </w:r>
          </w:p>
        </w:tc>
      </w:tr>
      <w:tr w14:paraId="79FC0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3402" w:type="dxa"/>
          </w:tcPr>
          <w:p w14:paraId="1298EA63">
            <w:pPr>
              <w:spacing w:line="300" w:lineRule="auto"/>
              <w:rPr>
                <w:b/>
                <w:sz w:val="24"/>
              </w:rPr>
            </w:pPr>
          </w:p>
        </w:tc>
        <w:tc>
          <w:tcPr>
            <w:tcW w:w="6379" w:type="dxa"/>
          </w:tcPr>
          <w:p w14:paraId="6098C75E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在着火或爆炸情况下，不要吸进烟尘。</w:t>
            </w:r>
          </w:p>
        </w:tc>
      </w:tr>
      <w:tr w14:paraId="05871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402" w:type="dxa"/>
            <w:tcBorders>
              <w:bottom w:val="single" w:color="auto" w:sz="4" w:space="0"/>
            </w:tcBorders>
          </w:tcPr>
          <w:p w14:paraId="757992DF">
            <w:pPr>
              <w:numPr>
                <w:ilvl w:val="0"/>
                <w:numId w:val="4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379" w:type="dxa"/>
            <w:tcBorders>
              <w:bottom w:val="single" w:color="auto" w:sz="4" w:space="0"/>
            </w:tcBorders>
          </w:tcPr>
          <w:p w14:paraId="132C2679">
            <w:pPr>
              <w:tabs>
                <w:tab w:val="left" w:pos="-108"/>
              </w:tabs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消防人员必须佩戴自供气式呼吸器。</w:t>
            </w:r>
          </w:p>
          <w:p w14:paraId="24D2EA19">
            <w:pPr>
              <w:tabs>
                <w:tab w:val="left" w:pos="-108"/>
              </w:tabs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禁止污染的灭火用水流入土壤，地下水或地表水中。</w:t>
            </w:r>
          </w:p>
        </w:tc>
      </w:tr>
    </w:tbl>
    <w:p w14:paraId="361966D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6421"/>
      </w:tblGrid>
      <w:tr w14:paraId="3AF33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0520ACD6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70455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360" w:type="dxa"/>
            <w:tcBorders>
              <w:top w:val="single" w:color="auto" w:sz="4" w:space="0"/>
            </w:tcBorders>
          </w:tcPr>
          <w:p w14:paraId="1F1527AF">
            <w:pPr>
              <w:numPr>
                <w:ilvl w:val="0"/>
                <w:numId w:val="5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421" w:type="dxa"/>
            <w:tcBorders>
              <w:top w:val="single" w:color="auto" w:sz="4" w:space="0"/>
            </w:tcBorders>
          </w:tcPr>
          <w:p w14:paraId="4A12E5BB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戴防护设备。远离火源。</w:t>
            </w:r>
          </w:p>
          <w:p w14:paraId="2617E5B8">
            <w:pPr>
              <w:spacing w:line="30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确保充分的通风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排气。令未授权人员离开。</w:t>
            </w:r>
          </w:p>
        </w:tc>
      </w:tr>
      <w:tr w14:paraId="06709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360" w:type="dxa"/>
          </w:tcPr>
          <w:p w14:paraId="4124FB02">
            <w:pPr>
              <w:numPr>
                <w:ilvl w:val="0"/>
                <w:numId w:val="5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kern w:val="0"/>
                <w:sz w:val="24"/>
              </w:rPr>
              <w:t>环境保护措施</w:t>
            </w:r>
            <w:r>
              <w:rPr>
                <w:rFonts w:hint="eastAsia" w:hAnsi="Arial" w:cs="Arial"/>
                <w:kern w:val="0"/>
                <w:sz w:val="24"/>
              </w:rPr>
              <w:t>：</w:t>
            </w:r>
          </w:p>
        </w:tc>
        <w:tc>
          <w:tcPr>
            <w:tcW w:w="6421" w:type="dxa"/>
          </w:tcPr>
          <w:p w14:paraId="3EC8A571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禁止排入下水道，废水或土壤中</w:t>
            </w:r>
            <w:r>
              <w:rPr>
                <w:rFonts w:hint="eastAsia"/>
                <w:b/>
                <w:sz w:val="24"/>
              </w:rPr>
              <w:t>。</w:t>
            </w:r>
          </w:p>
        </w:tc>
      </w:tr>
      <w:tr w14:paraId="07AC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360" w:type="dxa"/>
            <w:tcBorders>
              <w:bottom w:val="single" w:color="auto" w:sz="4" w:space="0"/>
            </w:tcBorders>
          </w:tcPr>
          <w:p w14:paraId="0EBB9634">
            <w:pPr>
              <w:numPr>
                <w:ilvl w:val="0"/>
                <w:numId w:val="5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421" w:type="dxa"/>
            <w:tcBorders>
              <w:bottom w:val="single" w:color="auto" w:sz="4" w:space="0"/>
            </w:tcBorders>
          </w:tcPr>
          <w:p w14:paraId="79AFDAC9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用化学品吸收材料或必要时用干沙收集，并储存与密闭容器中。</w:t>
            </w:r>
          </w:p>
        </w:tc>
      </w:tr>
    </w:tbl>
    <w:p w14:paraId="36A7ECD5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6421"/>
      </w:tblGrid>
      <w:tr w14:paraId="63545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20C8DB54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31C90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360" w:type="dxa"/>
            <w:tcBorders>
              <w:top w:val="single" w:color="auto" w:sz="4" w:space="0"/>
              <w:bottom w:val="single" w:color="auto" w:sz="4" w:space="0"/>
              <w:right w:val="nil"/>
            </w:tcBorders>
          </w:tcPr>
          <w:p w14:paraId="49F1C835">
            <w:pPr>
              <w:numPr>
                <w:ilvl w:val="1"/>
                <w:numId w:val="6"/>
              </w:numPr>
              <w:tabs>
                <w:tab w:val="clear" w:pos="540"/>
              </w:tabs>
              <w:spacing w:line="300" w:lineRule="auto"/>
              <w:ind w:left="459" w:hanging="459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421" w:type="dxa"/>
            <w:tcBorders>
              <w:top w:val="single" w:color="auto" w:sz="4" w:space="0"/>
              <w:left w:val="nil"/>
              <w:bottom w:val="single" w:color="auto" w:sz="4" w:space="0"/>
            </w:tcBorders>
          </w:tcPr>
          <w:p w14:paraId="24943CE8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操作时遵守化学品的常见预防措施。避免与皮肤和眼睛接触。</w:t>
            </w:r>
          </w:p>
          <w:p w14:paraId="0283A66D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远离食物、饮料和烟草。休息以前和工作结束时洗手。将工作服单独存放。</w:t>
            </w:r>
          </w:p>
          <w:p w14:paraId="2C335204">
            <w:pPr>
              <w:tabs>
                <w:tab w:val="left" w:pos="6129"/>
              </w:tabs>
              <w:autoSpaceDE w:val="0"/>
              <w:autoSpaceDN w:val="0"/>
              <w:adjustRightInd w:val="0"/>
              <w:spacing w:line="300" w:lineRule="auto"/>
              <w:ind w:right="482"/>
              <w:jc w:val="left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更换被污染或浸湿的衣物</w:t>
            </w:r>
          </w:p>
        </w:tc>
      </w:tr>
      <w:tr w14:paraId="0DC84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360" w:type="dxa"/>
            <w:tcBorders>
              <w:top w:val="single" w:color="auto" w:sz="4" w:space="0"/>
              <w:bottom w:val="single" w:color="auto" w:sz="4" w:space="0"/>
              <w:right w:val="nil"/>
            </w:tcBorders>
          </w:tcPr>
          <w:p w14:paraId="4CB2DE28">
            <w:pPr>
              <w:numPr>
                <w:ilvl w:val="1"/>
                <w:numId w:val="6"/>
              </w:numPr>
              <w:tabs>
                <w:tab w:val="clear" w:pos="540"/>
              </w:tabs>
              <w:spacing w:line="300" w:lineRule="auto"/>
              <w:ind w:left="459" w:hanging="459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421" w:type="dxa"/>
            <w:tcBorders>
              <w:top w:val="single" w:color="auto" w:sz="4" w:space="0"/>
              <w:left w:val="nil"/>
              <w:bottom w:val="single" w:color="auto" w:sz="4" w:space="0"/>
            </w:tcBorders>
          </w:tcPr>
          <w:p w14:paraId="791B78F2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容器保持紧闭，存储在干燥通风处。为保持产品质量，必须遵守我们产品信息表的储存条件。</w:t>
            </w:r>
            <w:r>
              <w:rPr>
                <w:rFonts w:cs="Arial"/>
                <w:kern w:val="0"/>
                <w:sz w:val="24"/>
              </w:rPr>
              <w:t xml:space="preserve"> </w:t>
            </w:r>
          </w:p>
        </w:tc>
      </w:tr>
    </w:tbl>
    <w:p w14:paraId="5D467E19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6500"/>
      </w:tblGrid>
      <w:tr w14:paraId="25644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c>
          <w:tcPr>
            <w:tcW w:w="9860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73F7354C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3420A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9860" w:type="dxa"/>
            <w:gridSpan w:val="2"/>
            <w:tcBorders>
              <w:top w:val="single" w:color="auto" w:sz="4" w:space="0"/>
              <w:bottom w:val="nil"/>
            </w:tcBorders>
          </w:tcPr>
          <w:p w14:paraId="713DF8E3">
            <w:pPr>
              <w:spacing w:line="30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8.1</w:t>
            </w:r>
            <w:r>
              <w:rPr>
                <w:rFonts w:hint="eastAsia"/>
                <w:b/>
                <w:sz w:val="24"/>
              </w:rPr>
              <w:t>控制参数</w:t>
            </w:r>
          </w:p>
        </w:tc>
      </w:tr>
      <w:tr w14:paraId="0BF7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9860" w:type="dxa"/>
            <w:gridSpan w:val="2"/>
            <w:tcBorders>
              <w:top w:val="nil"/>
              <w:bottom w:val="single" w:color="auto" w:sz="4" w:space="0"/>
            </w:tcBorders>
          </w:tcPr>
          <w:p w14:paraId="57CDD139">
            <w:p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根据</w:t>
            </w:r>
            <w:r>
              <w:rPr>
                <w:b/>
                <w:sz w:val="24"/>
              </w:rPr>
              <w:t>EC</w:t>
            </w:r>
            <w:r>
              <w:rPr>
                <w:rFonts w:hint="eastAsia"/>
                <w:b/>
                <w:sz w:val="24"/>
              </w:rPr>
              <w:t>指令</w:t>
            </w:r>
            <w:r>
              <w:rPr>
                <w:b/>
                <w:sz w:val="24"/>
              </w:rPr>
              <w:t>2006/121/EG,</w:t>
            </w:r>
            <w:r>
              <w:rPr>
                <w:rFonts w:hint="eastAsia"/>
                <w:b/>
                <w:sz w:val="24"/>
              </w:rPr>
              <w:t>无可用的接触限值信息</w:t>
            </w:r>
          </w:p>
        </w:tc>
      </w:tr>
      <w:tr w14:paraId="2271C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860" w:type="dxa"/>
            <w:gridSpan w:val="2"/>
            <w:tcBorders>
              <w:top w:val="single" w:color="auto" w:sz="4" w:space="0"/>
              <w:bottom w:val="nil"/>
            </w:tcBorders>
          </w:tcPr>
          <w:p w14:paraId="501B3580">
            <w:pPr>
              <w:spacing w:line="30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8.2</w:t>
            </w:r>
            <w:r>
              <w:rPr>
                <w:rFonts w:hint="eastAsia"/>
                <w:b/>
                <w:sz w:val="24"/>
              </w:rPr>
              <w:t>暴露控制</w:t>
            </w:r>
          </w:p>
        </w:tc>
      </w:tr>
      <w:tr w14:paraId="565C6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360" w:type="dxa"/>
            <w:tcBorders>
              <w:top w:val="nil"/>
              <w:bottom w:val="nil"/>
              <w:right w:val="nil"/>
            </w:tcBorders>
          </w:tcPr>
          <w:p w14:paraId="2614640A">
            <w:p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</w:tcBorders>
          </w:tcPr>
          <w:p w14:paraId="4E03E725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喷涂过程中要求有呼吸防护设备。</w:t>
            </w:r>
          </w:p>
        </w:tc>
      </w:tr>
      <w:tr w14:paraId="66D0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860" w:type="dxa"/>
            <w:gridSpan w:val="2"/>
            <w:tcBorders>
              <w:top w:val="nil"/>
              <w:bottom w:val="nil"/>
            </w:tcBorders>
          </w:tcPr>
          <w:p w14:paraId="2EE7B7D5">
            <w:pPr>
              <w:tabs>
                <w:tab w:val="left" w:pos="3451"/>
              </w:tabs>
              <w:spacing w:line="300" w:lineRule="auto"/>
              <w:ind w:left="3855" w:hanging="3855" w:hangingChars="160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</w:p>
        </w:tc>
      </w:tr>
      <w:tr w14:paraId="23A68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360" w:type="dxa"/>
            <w:tcBorders>
              <w:top w:val="nil"/>
              <w:bottom w:val="nil"/>
              <w:right w:val="nil"/>
            </w:tcBorders>
          </w:tcPr>
          <w:p w14:paraId="44A80C63">
            <w:p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</w:tcBorders>
            <w:vAlign w:val="center"/>
          </w:tcPr>
          <w:p w14:paraId="5880375A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b/>
                <w:sz w:val="24"/>
              </w:rPr>
            </w:pPr>
            <w:r>
              <w:rPr>
                <w:rFonts w:cs="Arial"/>
                <w:kern w:val="0"/>
                <w:sz w:val="24"/>
              </w:rPr>
              <w:t>EN 374-3</w:t>
            </w:r>
          </w:p>
        </w:tc>
      </w:tr>
      <w:tr w14:paraId="504C2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9860" w:type="dxa"/>
            <w:gridSpan w:val="2"/>
            <w:tcBorders>
              <w:top w:val="nil"/>
              <w:bottom w:val="nil"/>
            </w:tcBorders>
          </w:tcPr>
          <w:p w14:paraId="3EF9D1E5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氟化橡胶</w:t>
            </w:r>
            <w:r>
              <w:rPr>
                <w:rFonts w:cs="Arial"/>
                <w:kern w:val="0"/>
                <w:sz w:val="24"/>
              </w:rPr>
              <w:t xml:space="preserve"> –FKM:</w:t>
            </w: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0.4mm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7604A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9860" w:type="dxa"/>
            <w:gridSpan w:val="2"/>
            <w:tcBorders>
              <w:top w:val="nil"/>
              <w:bottom w:val="nil"/>
            </w:tcBorders>
          </w:tcPr>
          <w:p w14:paraId="2B8D6AB3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丁基橡胶</w:t>
            </w:r>
            <w:r>
              <w:rPr>
                <w:rFonts w:cs="Arial"/>
                <w:kern w:val="0"/>
                <w:sz w:val="24"/>
              </w:rPr>
              <w:t xml:space="preserve"> –IIR</w:t>
            </w:r>
            <w:r>
              <w:rPr>
                <w:rFonts w:hint="eastAsia" w:hAnsi="Arial" w:cs="Arial"/>
                <w:kern w:val="0"/>
                <w:sz w:val="24"/>
              </w:rPr>
              <w:t>：厚度≧</w:t>
            </w:r>
            <w:r>
              <w:rPr>
                <w:rFonts w:cs="Arial"/>
                <w:kern w:val="0"/>
                <w:sz w:val="24"/>
              </w:rPr>
              <w:t>0.5mm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0E1D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9860" w:type="dxa"/>
            <w:gridSpan w:val="2"/>
            <w:tcBorders>
              <w:top w:val="nil"/>
              <w:bottom w:val="nil"/>
            </w:tcBorders>
          </w:tcPr>
          <w:p w14:paraId="23EFBE75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丁腈橡胶</w:t>
            </w:r>
            <w:r>
              <w:rPr>
                <w:rFonts w:cs="Arial"/>
                <w:kern w:val="0"/>
                <w:sz w:val="24"/>
              </w:rPr>
              <w:t xml:space="preserve"> – NBR</w:t>
            </w:r>
            <w:r>
              <w:rPr>
                <w:rFonts w:hint="eastAsia" w:hAnsi="Arial" w:cs="Arial"/>
                <w:kern w:val="0"/>
                <w:sz w:val="24"/>
              </w:rPr>
              <w:t>：厚度≧</w:t>
            </w:r>
            <w:r>
              <w:rPr>
                <w:rFonts w:cs="Arial"/>
                <w:kern w:val="0"/>
                <w:sz w:val="24"/>
              </w:rPr>
              <w:t>0.35mm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65ED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" w:hRule="atLeast"/>
        </w:trPr>
        <w:tc>
          <w:tcPr>
            <w:tcW w:w="3360" w:type="dxa"/>
            <w:tcBorders>
              <w:top w:val="nil"/>
              <w:bottom w:val="nil"/>
              <w:right w:val="nil"/>
            </w:tcBorders>
          </w:tcPr>
          <w:p w14:paraId="3BDD52E7">
            <w:p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</w:tcBorders>
          </w:tcPr>
          <w:p w14:paraId="3C2E8B38">
            <w:pPr>
              <w:spacing w:line="300" w:lineRule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污染的手套应废弃。</w:t>
            </w:r>
          </w:p>
        </w:tc>
      </w:tr>
      <w:tr w14:paraId="7614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3360" w:type="dxa"/>
            <w:tcBorders>
              <w:top w:val="nil"/>
              <w:bottom w:val="nil"/>
              <w:right w:val="nil"/>
            </w:tcBorders>
          </w:tcPr>
          <w:p w14:paraId="32DCB79E">
            <w:p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</w:tcBorders>
          </w:tcPr>
          <w:p w14:paraId="4F3B65FC">
            <w:pPr>
              <w:spacing w:line="300" w:lineRule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戴眼罩</w:t>
            </w:r>
            <w:r>
              <w:rPr>
                <w:rFonts w:cs="Arial"/>
                <w:kern w:val="0"/>
                <w:sz w:val="24"/>
              </w:rPr>
              <w:t>/</w:t>
            </w:r>
            <w:r>
              <w:rPr>
                <w:rFonts w:hint="eastAsia" w:hAnsi="Arial" w:cs="Arial"/>
                <w:kern w:val="0"/>
                <w:sz w:val="24"/>
              </w:rPr>
              <w:t>面罩。</w:t>
            </w:r>
          </w:p>
        </w:tc>
      </w:tr>
      <w:tr w14:paraId="02172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3360" w:type="dxa"/>
            <w:tcBorders>
              <w:top w:val="nil"/>
              <w:bottom w:val="single" w:color="auto" w:sz="4" w:space="0"/>
              <w:right w:val="nil"/>
            </w:tcBorders>
          </w:tcPr>
          <w:p w14:paraId="5158FB76">
            <w:p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500" w:type="dxa"/>
            <w:tcBorders>
              <w:top w:val="nil"/>
              <w:left w:val="nil"/>
              <w:bottom w:val="single" w:color="auto" w:sz="4" w:space="0"/>
            </w:tcBorders>
          </w:tcPr>
          <w:p w14:paraId="3FD1BDB7">
            <w:pPr>
              <w:spacing w:line="300" w:lineRule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穿着适当的防护服。</w:t>
            </w:r>
          </w:p>
        </w:tc>
      </w:tr>
    </w:tbl>
    <w:p w14:paraId="7B7BBC9A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6379"/>
      </w:tblGrid>
      <w:tr w14:paraId="0437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0E6109F9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9E3E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402" w:type="dxa"/>
            <w:tcBorders>
              <w:top w:val="single" w:color="auto" w:sz="4" w:space="0"/>
              <w:bottom w:val="nil"/>
              <w:right w:val="nil"/>
            </w:tcBorders>
          </w:tcPr>
          <w:p w14:paraId="6A12BF4E">
            <w:pPr>
              <w:numPr>
                <w:ilvl w:val="0"/>
                <w:numId w:val="7"/>
              </w:numPr>
              <w:spacing w:line="300" w:lineRule="auto"/>
              <w:ind w:left="732" w:hanging="732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外 观：</w:t>
            </w:r>
            <w:r>
              <w:rPr>
                <w:b/>
                <w:sz w:val="24"/>
              </w:rPr>
              <w:t xml:space="preserve">  </w:t>
            </w:r>
          </w:p>
        </w:tc>
        <w:tc>
          <w:tcPr>
            <w:tcW w:w="6379" w:type="dxa"/>
            <w:tcBorders>
              <w:top w:val="single" w:color="auto" w:sz="4" w:space="0"/>
              <w:left w:val="nil"/>
              <w:bottom w:val="nil"/>
            </w:tcBorders>
            <w:vAlign w:val="center"/>
          </w:tcPr>
          <w:p w14:paraId="190A7B26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/>
                <w:sz w:val="24"/>
              </w:rPr>
              <w:t>乳白色液体</w:t>
            </w:r>
          </w:p>
        </w:tc>
      </w:tr>
      <w:tr w14:paraId="1A045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31A34551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嗅觉阀值：</w:t>
            </w:r>
            <w:r>
              <w:rPr>
                <w:b/>
                <w:sz w:val="24"/>
              </w:rPr>
              <w:t xml:space="preserve">      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3B75FB88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C176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25B79A29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pH</w:t>
            </w:r>
            <w:r>
              <w:rPr>
                <w:rFonts w:hint="eastAsia"/>
                <w:b/>
                <w:sz w:val="24"/>
              </w:rPr>
              <w:t>值：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7C051AA3">
            <w:pPr>
              <w:tabs>
                <w:tab w:val="left" w:pos="3960"/>
              </w:tabs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/>
                <w:sz w:val="24"/>
              </w:rPr>
              <w:t>7-9</w:t>
            </w:r>
            <w:r>
              <w:rPr>
                <w:sz w:val="24"/>
              </w:rPr>
              <w:t xml:space="preserve">                                 </w:t>
            </w:r>
          </w:p>
        </w:tc>
      </w:tr>
      <w:tr w14:paraId="6D028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12B835BD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初沸点：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3CCC35AF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/>
                <w:sz w:val="24"/>
              </w:rPr>
              <w:t>约</w:t>
            </w:r>
            <w:r>
              <w:rPr>
                <w:sz w:val="24"/>
              </w:rPr>
              <w:t>100</w:t>
            </w:r>
            <w:r>
              <w:rPr>
                <w:rFonts w:hint="eastAsia"/>
                <w:sz w:val="24"/>
              </w:rPr>
              <w:t>℃</w:t>
            </w:r>
          </w:p>
        </w:tc>
      </w:tr>
      <w:tr w14:paraId="2AF91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5EB91C35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闪点：</w:t>
            </w:r>
            <w:r>
              <w:rPr>
                <w:b/>
                <w:sz w:val="24"/>
              </w:rPr>
              <w:t xml:space="preserve">    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4FBCF9EE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9</w:t>
            </w:r>
            <w:r>
              <w:rPr>
                <w:rFonts w:hAnsi="Arial"/>
                <w:sz w:val="24"/>
              </w:rPr>
              <w:t>5</w:t>
            </w:r>
            <w:r>
              <w:rPr>
                <w:rFonts w:hint="eastAsia" w:hAnsi="Arial"/>
                <w:sz w:val="24"/>
              </w:rPr>
              <w:t>℃</w:t>
            </w:r>
          </w:p>
        </w:tc>
      </w:tr>
      <w:tr w14:paraId="2FBAE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6AF25254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蒸发速率：</w:t>
            </w:r>
            <w:r>
              <w:rPr>
                <w:b/>
                <w:sz w:val="24"/>
              </w:rPr>
              <w:t xml:space="preserve">     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52F34F92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805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70F8972D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可燃性（固态、气态）：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30C3C300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/>
                <w:sz w:val="24"/>
              </w:rPr>
              <w:t>不适用</w:t>
            </w:r>
          </w:p>
        </w:tc>
      </w:tr>
      <w:tr w14:paraId="4B90A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662395F7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燃烧值：</w:t>
            </w:r>
            <w:r>
              <w:rPr>
                <w:b/>
                <w:sz w:val="24"/>
              </w:rPr>
              <w:t xml:space="preserve">      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6B3D1A72">
            <w:pPr>
              <w:spacing w:line="300" w:lineRule="auto"/>
              <w:ind w:right="34" w:rightChars="16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>不适用</w:t>
            </w:r>
          </w:p>
        </w:tc>
      </w:tr>
      <w:tr w14:paraId="06172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6F67D7D8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相对蒸气密度：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313F402F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8B9E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3947903F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相对密度：</w:t>
            </w:r>
            <w:r>
              <w:rPr>
                <w:b/>
                <w:sz w:val="24"/>
              </w:rPr>
              <w:t xml:space="preserve">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6496FDA5">
            <w:pPr>
              <w:autoSpaceDE w:val="0"/>
              <w:autoSpaceDN w:val="0"/>
              <w:adjustRightInd w:val="0"/>
              <w:spacing w:line="300" w:lineRule="auto"/>
              <w:rPr>
                <w:sz w:val="24"/>
                <w:vertAlign w:val="superscript"/>
              </w:rPr>
            </w:pPr>
            <w:r>
              <w:rPr>
                <w:rFonts w:hint="eastAsia"/>
                <w:sz w:val="24"/>
              </w:rPr>
              <w:t>约1.06</w:t>
            </w:r>
            <w:r>
              <w:rPr>
                <w:sz w:val="24"/>
              </w:rPr>
              <w:t>g/cm</w:t>
            </w:r>
            <w:r>
              <w:rPr>
                <w:sz w:val="24"/>
                <w:vertAlign w:val="superscript"/>
              </w:rPr>
              <w:t xml:space="preserve">3                      </w:t>
            </w:r>
          </w:p>
        </w:tc>
      </w:tr>
      <w:tr w14:paraId="2A91E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4C78A9DE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kern w:val="0"/>
                <w:sz w:val="24"/>
              </w:rPr>
              <w:t>水溶性：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5B7F34F3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可混溶</w:t>
            </w:r>
          </w:p>
        </w:tc>
      </w:tr>
      <w:tr w14:paraId="3D24B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20A60EE1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kern w:val="0"/>
                <w:sz w:val="24"/>
              </w:rPr>
              <w:t>表面张力：</w:t>
            </w:r>
            <w:r>
              <w:rPr>
                <w:rFonts w:cs="Arial"/>
                <w:kern w:val="0"/>
                <w:sz w:val="24"/>
              </w:rPr>
              <w:t xml:space="preserve">  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649D34B3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无数据</w:t>
            </w:r>
          </w:p>
        </w:tc>
      </w:tr>
      <w:tr w14:paraId="4FCA9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18DBD6D5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kern w:val="0"/>
                <w:sz w:val="24"/>
              </w:rPr>
              <w:t>辛醇</w:t>
            </w:r>
            <w:r>
              <w:rPr>
                <w:rFonts w:cs="Arial"/>
                <w:b/>
                <w:kern w:val="0"/>
                <w:sz w:val="24"/>
              </w:rPr>
              <w:t>/</w:t>
            </w:r>
            <w:r>
              <w:rPr>
                <w:rFonts w:hint="eastAsia" w:hAnsi="Arial" w:cs="Arial"/>
                <w:b/>
                <w:kern w:val="0"/>
                <w:sz w:val="24"/>
              </w:rPr>
              <w:t>水分配系数的对数值</w:t>
            </w:r>
            <w:r>
              <w:rPr>
                <w:rFonts w:hint="eastAsia" w:hAnsi="Arial" w:cs="Arial"/>
                <w:kern w:val="0"/>
                <w:sz w:val="24"/>
              </w:rPr>
              <w:t>：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5824F491">
            <w:pPr>
              <w:spacing w:line="300" w:lineRule="auto"/>
              <w:ind w:right="34" w:rightChars="16"/>
              <w:rPr>
                <w:sz w:val="24"/>
                <w:vertAlign w:val="subscript"/>
              </w:rPr>
            </w:pPr>
            <w:r>
              <w:rPr>
                <w:rFonts w:hint="eastAsia" w:hAnsi="Arial" w:cs="Arial"/>
                <w:kern w:val="0"/>
                <w:sz w:val="24"/>
              </w:rPr>
              <w:t>无数据</w:t>
            </w:r>
          </w:p>
        </w:tc>
      </w:tr>
      <w:tr w14:paraId="548C0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3CE7FBF3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kern w:val="0"/>
                <w:sz w:val="24"/>
              </w:rPr>
              <w:t>自燃温度：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  <w:vAlign w:val="center"/>
          </w:tcPr>
          <w:p w14:paraId="32F5C370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不适用</w:t>
            </w:r>
          </w:p>
        </w:tc>
      </w:tr>
      <w:tr w14:paraId="1FCC6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402" w:type="dxa"/>
            <w:tcBorders>
              <w:top w:val="nil"/>
              <w:bottom w:val="single" w:color="auto" w:sz="4" w:space="0"/>
              <w:right w:val="nil"/>
            </w:tcBorders>
          </w:tcPr>
          <w:p w14:paraId="6AB91813">
            <w:pPr>
              <w:numPr>
                <w:ilvl w:val="0"/>
                <w:numId w:val="7"/>
              </w:numPr>
              <w:spacing w:line="300" w:lineRule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kern w:val="0"/>
                <w:sz w:val="24"/>
              </w:rPr>
              <w:t>引燃温度：</w:t>
            </w:r>
          </w:p>
        </w:tc>
        <w:tc>
          <w:tcPr>
            <w:tcW w:w="6379" w:type="dxa"/>
            <w:tcBorders>
              <w:top w:val="nil"/>
              <w:left w:val="nil"/>
              <w:bottom w:val="single" w:color="auto" w:sz="4" w:space="0"/>
            </w:tcBorders>
            <w:vAlign w:val="center"/>
          </w:tcPr>
          <w:p w14:paraId="1EDD4C62">
            <w:pPr>
              <w:spacing w:line="300" w:lineRule="auto"/>
              <w:ind w:right="34" w:rightChars="16"/>
              <w:rPr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无数据</w:t>
            </w:r>
          </w:p>
        </w:tc>
      </w:tr>
      <w:tr w14:paraId="24532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402" w:type="dxa"/>
            <w:tcBorders>
              <w:top w:val="single" w:color="auto" w:sz="4" w:space="0"/>
              <w:bottom w:val="nil"/>
              <w:right w:val="nil"/>
            </w:tcBorders>
          </w:tcPr>
          <w:p w14:paraId="57C11151">
            <w:pPr>
              <w:spacing w:line="300" w:lineRule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kern w:val="0"/>
                <w:sz w:val="24"/>
              </w:rPr>
              <w:t>9.17动力粘度：</w:t>
            </w:r>
          </w:p>
        </w:tc>
        <w:tc>
          <w:tcPr>
            <w:tcW w:w="6379" w:type="dxa"/>
            <w:tcBorders>
              <w:top w:val="single" w:color="auto" w:sz="4" w:space="0"/>
              <w:left w:val="nil"/>
              <w:bottom w:val="nil"/>
            </w:tcBorders>
          </w:tcPr>
          <w:p w14:paraId="1F24321F">
            <w:pPr>
              <w:pStyle w:val="11"/>
              <w:spacing w:line="300" w:lineRule="auto"/>
              <w:ind w:right="34" w:rightChars="16" w:firstLine="0" w:firstLineChars="0"/>
              <w:rPr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50-</w:t>
            </w:r>
            <w:r>
              <w:rPr>
                <w:rFonts w:hint="eastAsia" w:cs="Arial"/>
                <w:kern w:val="0"/>
                <w:sz w:val="24"/>
                <w:lang w:val="en-US" w:eastAsia="zh-CN"/>
              </w:rPr>
              <w:t>4</w:t>
            </w:r>
            <w:r>
              <w:rPr>
                <w:rFonts w:hint="eastAsia" w:cs="Arial"/>
                <w:kern w:val="0"/>
                <w:sz w:val="24"/>
              </w:rPr>
              <w:t>000</w:t>
            </w:r>
            <w:r>
              <w:rPr>
                <w:rFonts w:cs="Arial"/>
                <w:kern w:val="0"/>
                <w:sz w:val="24"/>
              </w:rPr>
              <w:t xml:space="preserve"> mPa.s</w:t>
            </w:r>
            <w:r>
              <w:rPr>
                <w:rFonts w:hint="eastAsia" w:cs="Arial"/>
                <w:kern w:val="0"/>
                <w:sz w:val="24"/>
              </w:rPr>
              <w:t>（25℃）</w:t>
            </w:r>
          </w:p>
        </w:tc>
      </w:tr>
      <w:tr w14:paraId="7254B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1B52E542">
            <w:pPr>
              <w:tabs>
                <w:tab w:val="left" w:pos="938"/>
              </w:tabs>
              <w:spacing w:line="300" w:lineRule="auto"/>
              <w:rPr>
                <w:rFonts w:cs="Arial"/>
                <w:b/>
                <w:kern w:val="0"/>
                <w:sz w:val="24"/>
              </w:rPr>
            </w:pPr>
            <w:r>
              <w:rPr>
                <w:rFonts w:cs="Arial"/>
                <w:b/>
                <w:kern w:val="0"/>
                <w:sz w:val="24"/>
              </w:rPr>
              <w:t>9.18</w:t>
            </w:r>
            <w:r>
              <w:rPr>
                <w:rFonts w:hint="eastAsia" w:cs="Arial"/>
                <w:b/>
                <w:kern w:val="0"/>
                <w:sz w:val="24"/>
              </w:rPr>
              <w:t>固体含量：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05A8F639">
            <w:pPr>
              <w:pStyle w:val="11"/>
              <w:spacing w:line="300" w:lineRule="auto"/>
              <w:ind w:right="34" w:rightChars="16" w:firstLine="0" w:firstLineChars="0"/>
              <w:rPr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4</w:t>
            </w:r>
            <w:r>
              <w:rPr>
                <w:rFonts w:hint="eastAsia" w:cs="Arial"/>
                <w:kern w:val="0"/>
                <w:sz w:val="24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/>
                <w:kern w:val="0"/>
                <w:sz w:val="24"/>
              </w:rPr>
              <w:t>±</w:t>
            </w:r>
            <w:r>
              <w:rPr>
                <w:kern w:val="0"/>
                <w:sz w:val="24"/>
              </w:rPr>
              <w:t>2</w:t>
            </w:r>
            <w:r>
              <w:rPr>
                <w:rFonts w:hint="eastAsia" w:cs="Arial"/>
                <w:kern w:val="0"/>
                <w:sz w:val="24"/>
              </w:rPr>
              <w:t>%</w:t>
            </w:r>
          </w:p>
        </w:tc>
      </w:tr>
      <w:tr w14:paraId="10FC7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402" w:type="dxa"/>
            <w:tcBorders>
              <w:top w:val="nil"/>
              <w:bottom w:val="single" w:color="auto" w:sz="4" w:space="0"/>
              <w:right w:val="nil"/>
            </w:tcBorders>
          </w:tcPr>
          <w:p w14:paraId="5EF00210">
            <w:pPr>
              <w:spacing w:line="300" w:lineRule="auto"/>
              <w:rPr>
                <w:rFonts w:cs="Arial"/>
                <w:b/>
                <w:kern w:val="0"/>
                <w:sz w:val="24"/>
              </w:rPr>
            </w:pPr>
            <w:r>
              <w:rPr>
                <w:rFonts w:cs="Arial"/>
                <w:b/>
                <w:kern w:val="0"/>
                <w:sz w:val="24"/>
              </w:rPr>
              <w:t>9.19</w:t>
            </w:r>
            <w:r>
              <w:rPr>
                <w:rFonts w:hint="eastAsia" w:cs="Arial"/>
                <w:b/>
                <w:kern w:val="0"/>
                <w:sz w:val="24"/>
              </w:rPr>
              <w:t>其他信息：</w:t>
            </w:r>
          </w:p>
        </w:tc>
        <w:tc>
          <w:tcPr>
            <w:tcW w:w="6379" w:type="dxa"/>
            <w:tcBorders>
              <w:top w:val="nil"/>
              <w:left w:val="nil"/>
              <w:bottom w:val="single" w:color="auto" w:sz="4" w:space="0"/>
            </w:tcBorders>
          </w:tcPr>
          <w:p w14:paraId="41324A3E">
            <w:pPr>
              <w:pStyle w:val="11"/>
              <w:spacing w:line="300" w:lineRule="auto"/>
              <w:ind w:right="34" w:rightChars="16" w:firstLine="0" w:firstLineChars="0"/>
              <w:rPr>
                <w:rFonts w:cs="Arial"/>
                <w:kern w:val="0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上述数据非产品指标，产品指标请参见产品技术信息表。</w:t>
            </w:r>
          </w:p>
        </w:tc>
      </w:tr>
    </w:tbl>
    <w:p w14:paraId="1C07D4C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6379"/>
      </w:tblGrid>
      <w:tr w14:paraId="65755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0BDF4831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26835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402" w:type="dxa"/>
            <w:tcBorders>
              <w:top w:val="single" w:color="auto" w:sz="4" w:space="0"/>
              <w:bottom w:val="nil"/>
              <w:right w:val="nil"/>
            </w:tcBorders>
          </w:tcPr>
          <w:p w14:paraId="6FB7D8C7">
            <w:pPr>
              <w:numPr>
                <w:ilvl w:val="0"/>
                <w:numId w:val="8"/>
              </w:numPr>
              <w:tabs>
                <w:tab w:val="left" w:pos="601"/>
              </w:tabs>
              <w:spacing w:line="300" w:lineRule="auto"/>
              <w:ind w:left="601" w:hanging="601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379" w:type="dxa"/>
            <w:tcBorders>
              <w:top w:val="single" w:color="auto" w:sz="4" w:space="0"/>
              <w:left w:val="nil"/>
              <w:bottom w:val="nil"/>
            </w:tcBorders>
          </w:tcPr>
          <w:p w14:paraId="7F61486C">
            <w:pPr>
              <w:spacing w:line="300" w:lineRule="auto"/>
              <w:ind w:left="-25" w:leftChars="-12" w:right="480" w:firstLine="26" w:firstLineChars="11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根据规范使用，不会发生分解。</w:t>
            </w:r>
          </w:p>
        </w:tc>
      </w:tr>
      <w:tr w14:paraId="29F34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402" w:type="dxa"/>
            <w:tcBorders>
              <w:top w:val="nil"/>
              <w:bottom w:val="nil"/>
              <w:right w:val="nil"/>
            </w:tcBorders>
          </w:tcPr>
          <w:p w14:paraId="0D8A735C">
            <w:pPr>
              <w:numPr>
                <w:ilvl w:val="0"/>
                <w:numId w:val="8"/>
              </w:numPr>
              <w:tabs>
                <w:tab w:val="left" w:pos="601"/>
              </w:tabs>
              <w:spacing w:line="300" w:lineRule="auto"/>
              <w:ind w:left="601" w:hanging="601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18480826">
            <w:pPr>
              <w:spacing w:line="300" w:lineRule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在热分解过程中生成易燃有害气体。</w:t>
            </w:r>
          </w:p>
        </w:tc>
      </w:tr>
      <w:tr w14:paraId="037F9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402" w:type="dxa"/>
            <w:tcBorders>
              <w:top w:val="nil"/>
              <w:bottom w:val="single" w:color="auto" w:sz="4" w:space="0"/>
              <w:right w:val="nil"/>
            </w:tcBorders>
          </w:tcPr>
          <w:p w14:paraId="0A162434">
            <w:pPr>
              <w:numPr>
                <w:ilvl w:val="0"/>
                <w:numId w:val="8"/>
              </w:numPr>
              <w:tabs>
                <w:tab w:val="left" w:pos="601"/>
              </w:tabs>
              <w:spacing w:line="300" w:lineRule="auto"/>
              <w:ind w:left="601" w:hanging="601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379" w:type="dxa"/>
            <w:tcBorders>
              <w:top w:val="nil"/>
              <w:left w:val="nil"/>
              <w:bottom w:val="single" w:color="auto" w:sz="4" w:space="0"/>
            </w:tcBorders>
          </w:tcPr>
          <w:p w14:paraId="049B0CDA">
            <w:pPr>
              <w:spacing w:line="300" w:lineRule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正确储存或操作时，无危害反应。</w:t>
            </w:r>
          </w:p>
        </w:tc>
      </w:tr>
    </w:tbl>
    <w:p w14:paraId="1E6F4565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139C1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08CD53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C0B7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0" w:hRule="atLeast"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</w:tcPr>
          <w:p w14:paraId="5EFCF920">
            <w:pPr>
              <w:ind w:left="960" w:hanging="960" w:hangingChars="400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该产品无可用的毒理学研究。 下面是这些成分的毒理学数据。</w:t>
            </w:r>
          </w:p>
          <w:p w14:paraId="151C4B5F">
            <w:pPr>
              <w:ind w:left="960" w:hanging="960" w:hangingChars="400"/>
              <w:rPr>
                <w:rFonts w:hint="eastAsia" w:ascii="宋体" w:hAnsi="宋体" w:cs="宋体"/>
                <w:sz w:val="24"/>
              </w:rPr>
            </w:pPr>
          </w:p>
          <w:p w14:paraId="0B0B10AC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羟基聚丙烯酸酯分散体</w:t>
            </w:r>
          </w:p>
          <w:p w14:paraId="759A62DF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毒性：无资料；刺激性：无资料</w:t>
            </w:r>
          </w:p>
          <w:p w14:paraId="27E51B0D">
            <w:pPr>
              <w:rPr>
                <w:rFonts w:ascii="宋体" w:hAnsi="宋体" w:cs="宋体"/>
                <w:sz w:val="24"/>
              </w:rPr>
            </w:pPr>
          </w:p>
          <w:p w14:paraId="062E8E04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丙二醇丁醚：</w:t>
            </w:r>
          </w:p>
          <w:p w14:paraId="0850FD53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毒性：经皮（鼠）LD50：＞2000</w:t>
            </w:r>
            <w:r>
              <w:rPr>
                <w:rFonts w:ascii="宋体" w:hAnsi="宋体" w:cs="宋体"/>
                <w:sz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</w:rPr>
              <w:t>mg</w:t>
            </w:r>
            <w:r>
              <w:rPr>
                <w:rFonts w:ascii="宋体" w:hAnsi="宋体" w:cs="宋体"/>
                <w:sz w:val="24"/>
              </w:rPr>
              <w:t>/kg</w:t>
            </w:r>
          </w:p>
          <w:p w14:paraId="529EFEED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 xml:space="preserve"> </w:t>
            </w:r>
            <w:r>
              <w:rPr>
                <w:rFonts w:ascii="宋体" w:hAnsi="宋体" w:cs="宋体"/>
                <w:sz w:val="24"/>
              </w:rPr>
              <w:t xml:space="preserve">     </w:t>
            </w:r>
            <w:r>
              <w:rPr>
                <w:rFonts w:hint="eastAsia" w:ascii="宋体" w:hAnsi="宋体" w:cs="宋体"/>
                <w:sz w:val="24"/>
              </w:rPr>
              <w:t>吸入（鼠）LD50：＞1997.718</w:t>
            </w:r>
            <w:r>
              <w:rPr>
                <w:rFonts w:ascii="宋体" w:hAnsi="宋体" w:cs="宋体"/>
                <w:sz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</w:rPr>
              <w:t>mg</w:t>
            </w:r>
            <w:r>
              <w:rPr>
                <w:rFonts w:ascii="宋体" w:hAnsi="宋体" w:cs="宋体"/>
                <w:sz w:val="24"/>
              </w:rPr>
              <w:t>/l/8hE</w:t>
            </w:r>
          </w:p>
          <w:p w14:paraId="64BFBE37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 xml:space="preserve"> </w:t>
            </w:r>
            <w:r>
              <w:rPr>
                <w:rFonts w:ascii="宋体" w:hAnsi="宋体" w:cs="宋体"/>
                <w:sz w:val="24"/>
              </w:rPr>
              <w:t xml:space="preserve">     </w:t>
            </w:r>
            <w:r>
              <w:rPr>
                <w:rFonts w:hint="eastAsia" w:ascii="宋体" w:hAnsi="宋体" w:cs="宋体"/>
                <w:sz w:val="24"/>
              </w:rPr>
              <w:t>经口（鼠）LD50：＞2000</w:t>
            </w:r>
            <w:r>
              <w:rPr>
                <w:rFonts w:ascii="宋体" w:hAnsi="宋体" w:cs="宋体"/>
                <w:sz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</w:rPr>
              <w:t>mg</w:t>
            </w:r>
            <w:r>
              <w:rPr>
                <w:rFonts w:ascii="宋体" w:hAnsi="宋体" w:cs="宋体"/>
                <w:sz w:val="24"/>
              </w:rPr>
              <w:t>/kg</w:t>
            </w:r>
          </w:p>
          <w:p w14:paraId="17272DB3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刺激性：无资料</w:t>
            </w:r>
          </w:p>
          <w:p w14:paraId="349BB0A4">
            <w:pPr>
              <w:rPr>
                <w:rFonts w:ascii="宋体" w:hAnsi="宋体" w:cs="宋体"/>
                <w:sz w:val="24"/>
              </w:rPr>
            </w:pPr>
          </w:p>
          <w:p w14:paraId="36AEDA79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二乙二醇丁醚：</w:t>
            </w:r>
          </w:p>
          <w:p w14:paraId="20561CF4">
            <w:pPr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毒性：经皮（鼠）LD50：＞2000</w:t>
            </w:r>
            <w:r>
              <w:rPr>
                <w:rFonts w:ascii="宋体" w:hAnsi="宋体" w:cs="宋体"/>
                <w:sz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</w:rPr>
              <w:t>mg</w:t>
            </w:r>
            <w:r>
              <w:rPr>
                <w:rFonts w:ascii="宋体" w:hAnsi="宋体" w:cs="宋体"/>
                <w:sz w:val="24"/>
              </w:rPr>
              <w:t>/kg</w:t>
            </w:r>
          </w:p>
          <w:p w14:paraId="6B12D894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 xml:space="preserve"> </w:t>
            </w:r>
            <w:r>
              <w:rPr>
                <w:rFonts w:ascii="宋体" w:hAnsi="宋体" w:cs="宋体"/>
                <w:sz w:val="24"/>
              </w:rPr>
              <w:t xml:space="preserve">     </w:t>
            </w:r>
            <w:r>
              <w:rPr>
                <w:rFonts w:hint="eastAsia" w:ascii="宋体" w:hAnsi="宋体" w:cs="宋体"/>
                <w:sz w:val="24"/>
              </w:rPr>
              <w:t>经口（鼠）LD50：=4500</w:t>
            </w:r>
            <w:r>
              <w:rPr>
                <w:rFonts w:ascii="宋体" w:hAnsi="宋体" w:cs="宋体"/>
                <w:sz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</w:rPr>
              <w:t>mg</w:t>
            </w:r>
            <w:r>
              <w:rPr>
                <w:rFonts w:ascii="宋体" w:hAnsi="宋体" w:cs="宋体"/>
                <w:sz w:val="24"/>
              </w:rPr>
              <w:t>/kg</w:t>
            </w:r>
          </w:p>
          <w:p w14:paraId="3755410A">
            <w:pPr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刺激性：无资料</w:t>
            </w:r>
          </w:p>
        </w:tc>
      </w:tr>
    </w:tbl>
    <w:p w14:paraId="2AD011A5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6379"/>
      </w:tblGrid>
      <w:tr w14:paraId="212E3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C1C57DC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5FCF2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402" w:type="dxa"/>
            <w:tcBorders>
              <w:top w:val="single" w:color="auto" w:sz="4" w:space="0"/>
              <w:bottom w:val="nil"/>
            </w:tcBorders>
          </w:tcPr>
          <w:p w14:paraId="01407FF7">
            <w:pPr>
              <w:numPr>
                <w:ilvl w:val="1"/>
                <w:numId w:val="9"/>
              </w:numPr>
              <w:tabs>
                <w:tab w:val="left" w:pos="601"/>
                <w:tab w:val="clear" w:pos="780"/>
              </w:tabs>
              <w:spacing w:line="300" w:lineRule="auto"/>
              <w:ind w:left="682" w:hanging="682" w:hangingChars="283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379" w:type="dxa"/>
            <w:tcBorders>
              <w:top w:val="single" w:color="auto" w:sz="4" w:space="0"/>
              <w:bottom w:val="nil"/>
            </w:tcBorders>
          </w:tcPr>
          <w:p w14:paraId="10D91401">
            <w:pPr>
              <w:spacing w:line="300" w:lineRule="auto"/>
              <w:ind w:left="1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该产品无可用的生态毒理学研究。禁止排入下水道，废水或土壤中。</w:t>
            </w:r>
          </w:p>
        </w:tc>
      </w:tr>
      <w:tr w14:paraId="3BEA6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402" w:type="dxa"/>
            <w:tcBorders>
              <w:top w:val="nil"/>
              <w:bottom w:val="nil"/>
            </w:tcBorders>
          </w:tcPr>
          <w:p w14:paraId="7D229EB5">
            <w:pPr>
              <w:numPr>
                <w:ilvl w:val="1"/>
                <w:numId w:val="9"/>
              </w:numPr>
              <w:tabs>
                <w:tab w:val="left" w:pos="601"/>
                <w:tab w:val="clear" w:pos="780"/>
              </w:tabs>
              <w:spacing w:line="300" w:lineRule="auto"/>
              <w:ind w:left="682" w:hanging="682" w:hangingChars="283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持久性和降解性</w:t>
            </w:r>
            <w:r>
              <w:rPr>
                <w:rFonts w:hint="eastAsia" w:hAnsi="Arial"/>
                <w:sz w:val="24"/>
              </w:rPr>
              <w:t>：</w:t>
            </w:r>
          </w:p>
        </w:tc>
        <w:tc>
          <w:tcPr>
            <w:tcW w:w="6379" w:type="dxa"/>
            <w:tcBorders>
              <w:top w:val="nil"/>
              <w:bottom w:val="nil"/>
            </w:tcBorders>
          </w:tcPr>
          <w:p w14:paraId="6DE95102">
            <w:pPr>
              <w:spacing w:line="300" w:lineRule="auto"/>
              <w:ind w:left="1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该产品不易生物降解。</w:t>
            </w:r>
          </w:p>
        </w:tc>
      </w:tr>
      <w:tr w14:paraId="2517B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402" w:type="dxa"/>
            <w:tcBorders>
              <w:top w:val="nil"/>
              <w:bottom w:val="single" w:color="auto" w:sz="4" w:space="0"/>
            </w:tcBorders>
          </w:tcPr>
          <w:p w14:paraId="7C30E3E9">
            <w:pPr>
              <w:numPr>
                <w:ilvl w:val="1"/>
                <w:numId w:val="9"/>
              </w:numPr>
              <w:tabs>
                <w:tab w:val="left" w:pos="601"/>
                <w:tab w:val="clear" w:pos="780"/>
              </w:tabs>
              <w:spacing w:line="300" w:lineRule="auto"/>
              <w:ind w:left="682" w:hanging="682" w:hangingChars="283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sz w:val="24"/>
              </w:rPr>
              <w:t>：</w:t>
            </w:r>
          </w:p>
        </w:tc>
        <w:tc>
          <w:tcPr>
            <w:tcW w:w="6379" w:type="dxa"/>
            <w:tcBorders>
              <w:top w:val="nil"/>
              <w:bottom w:val="single" w:color="auto" w:sz="4" w:space="0"/>
            </w:tcBorders>
          </w:tcPr>
          <w:p w14:paraId="579A6CF1">
            <w:pPr>
              <w:spacing w:line="300" w:lineRule="auto"/>
              <w:ind w:left="1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根据生态毒理学资料，该产品被划分为对鱼类和水蚤无害类。</w:t>
            </w:r>
          </w:p>
        </w:tc>
      </w:tr>
    </w:tbl>
    <w:p w14:paraId="5E424EF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6379"/>
      </w:tblGrid>
      <w:tr w14:paraId="3F009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2E3E2DB3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19C9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</w:tcPr>
          <w:p w14:paraId="2DF3C02B">
            <w:pPr>
              <w:spacing w:before="62" w:beforeLines="20" w:after="62" w:afterLines="20" w:line="300" w:lineRule="auto"/>
              <w:ind w:left="34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必需遵守适用的国标、国家或当地法规进行废弃。</w:t>
            </w:r>
          </w:p>
        </w:tc>
      </w:tr>
      <w:tr w14:paraId="3D58F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nil"/>
            </w:tcBorders>
          </w:tcPr>
          <w:p w14:paraId="312A1131">
            <w:pPr>
              <w:spacing w:line="300" w:lineRule="auto"/>
              <w:ind w:left="34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在欧盟领域内废弃，应根据欧洲废弃物分类（</w:t>
            </w:r>
            <w:r>
              <w:rPr>
                <w:sz w:val="24"/>
              </w:rPr>
              <w:t>EWC</w:t>
            </w:r>
            <w:r>
              <w:rPr>
                <w:rFonts w:hint="eastAsia" w:hAnsi="Arial"/>
                <w:sz w:val="24"/>
              </w:rPr>
              <w:t>）的适当法规。</w:t>
            </w:r>
          </w:p>
        </w:tc>
      </w:tr>
      <w:tr w14:paraId="51983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402" w:type="dxa"/>
            <w:tcBorders>
              <w:top w:val="nil"/>
              <w:bottom w:val="single" w:color="auto" w:sz="4" w:space="0"/>
              <w:right w:val="nil"/>
            </w:tcBorders>
          </w:tcPr>
          <w:p w14:paraId="365E9EC3">
            <w:pPr>
              <w:tabs>
                <w:tab w:val="left" w:pos="3275"/>
              </w:tabs>
              <w:spacing w:line="300" w:lineRule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379" w:type="dxa"/>
            <w:tcBorders>
              <w:top w:val="nil"/>
              <w:left w:val="nil"/>
              <w:bottom w:val="single" w:color="auto" w:sz="4" w:space="0"/>
            </w:tcBorders>
          </w:tcPr>
          <w:p w14:paraId="69EFFB6A">
            <w:pPr>
              <w:spacing w:line="300" w:lineRule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尽可能将容器倒空（例如经倾倒，刮擦或排干直至</w:t>
            </w:r>
            <w:r>
              <w:rPr>
                <w:rFonts w:hint="eastAsia"/>
                <w:sz w:val="24"/>
              </w:rPr>
              <w:t>“</w:t>
            </w:r>
            <w:r>
              <w:rPr>
                <w:rFonts w:hint="eastAsia" w:hAnsi="Arial"/>
                <w:sz w:val="24"/>
              </w:rPr>
              <w:t>滴干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 w:hAnsi="Arial"/>
                <w:sz w:val="24"/>
              </w:rPr>
              <w:t>）</w:t>
            </w:r>
          </w:p>
          <w:p w14:paraId="6E2B9BA8">
            <w:pPr>
              <w:spacing w:line="300" w:lineRule="auto"/>
              <w:ind w:left="34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可根据化学工业现存的回收方案送往适当的收集点处理。</w:t>
            </w:r>
          </w:p>
          <w:p w14:paraId="27ACFAAA">
            <w:pPr>
              <w:spacing w:line="300" w:lineRule="auto"/>
              <w:ind w:left="34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容器应按照国家法令和环境相关法规进行回收。</w:t>
            </w:r>
          </w:p>
          <w:p w14:paraId="010524DC">
            <w:pPr>
              <w:spacing w:line="300" w:lineRule="auto"/>
              <w:ind w:left="34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不能将废弃物通过废水排放。</w:t>
            </w:r>
          </w:p>
        </w:tc>
      </w:tr>
    </w:tbl>
    <w:p w14:paraId="0098940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6379"/>
      </w:tblGrid>
      <w:tr w14:paraId="27365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2CDDFF41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22BE7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402" w:type="dxa"/>
            <w:tcBorders>
              <w:top w:val="single" w:color="auto" w:sz="4" w:space="0"/>
            </w:tcBorders>
          </w:tcPr>
          <w:p w14:paraId="1D03C784">
            <w:pPr>
              <w:numPr>
                <w:ilvl w:val="1"/>
                <w:numId w:val="10"/>
              </w:numPr>
              <w:tabs>
                <w:tab w:val="left" w:pos="601"/>
                <w:tab w:val="clear" w:pos="780"/>
              </w:tabs>
              <w:spacing w:line="300" w:lineRule="auto"/>
              <w:ind w:left="601" w:hanging="601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379" w:type="dxa"/>
            <w:tcBorders>
              <w:top w:val="single" w:color="auto" w:sz="4" w:space="0"/>
            </w:tcBorders>
          </w:tcPr>
          <w:p w14:paraId="553A7E14">
            <w:pPr>
              <w:spacing w:line="300" w:lineRule="auto"/>
              <w:ind w:left="34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非危险品陆运输方式，符合</w:t>
            </w:r>
            <w:r>
              <w:rPr>
                <w:sz w:val="24"/>
              </w:rPr>
              <w:t>ADG</w:t>
            </w:r>
            <w:r>
              <w:rPr>
                <w:rFonts w:hint="eastAsia" w:hAnsi="Arial"/>
                <w:sz w:val="24"/>
              </w:rPr>
              <w:t>准则。</w:t>
            </w:r>
          </w:p>
        </w:tc>
      </w:tr>
      <w:tr w14:paraId="44841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402" w:type="dxa"/>
          </w:tcPr>
          <w:p w14:paraId="32BDDBC3">
            <w:pPr>
              <w:numPr>
                <w:ilvl w:val="1"/>
                <w:numId w:val="10"/>
              </w:numPr>
              <w:tabs>
                <w:tab w:val="left" w:pos="601"/>
                <w:tab w:val="clear" w:pos="780"/>
              </w:tabs>
              <w:spacing w:line="300" w:lineRule="auto"/>
              <w:ind w:left="601" w:hanging="601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379" w:type="dxa"/>
          </w:tcPr>
          <w:p w14:paraId="71059C04">
            <w:pPr>
              <w:spacing w:line="300" w:lineRule="auto"/>
              <w:ind w:left="34" w:right="480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非危险品海运方式，符合</w:t>
            </w:r>
            <w:r>
              <w:rPr>
                <w:sz w:val="24"/>
              </w:rPr>
              <w:t>IMDG</w:t>
            </w:r>
            <w:r>
              <w:rPr>
                <w:rFonts w:hint="eastAsia" w:hAnsi="Arial"/>
                <w:sz w:val="24"/>
              </w:rPr>
              <w:t>准则。</w:t>
            </w:r>
          </w:p>
        </w:tc>
      </w:tr>
      <w:tr w14:paraId="5755A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402" w:type="dxa"/>
          </w:tcPr>
          <w:p w14:paraId="30DD775A">
            <w:pPr>
              <w:numPr>
                <w:ilvl w:val="1"/>
                <w:numId w:val="10"/>
              </w:numPr>
              <w:tabs>
                <w:tab w:val="left" w:pos="601"/>
                <w:tab w:val="clear" w:pos="780"/>
              </w:tabs>
              <w:spacing w:line="300" w:lineRule="auto"/>
              <w:ind w:left="601" w:hanging="601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379" w:type="dxa"/>
          </w:tcPr>
          <w:p w14:paraId="289100CA">
            <w:pPr>
              <w:spacing w:line="300" w:lineRule="auto"/>
              <w:ind w:left="34" w:right="480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非危险品运输方式，符合</w:t>
            </w:r>
            <w:r>
              <w:rPr>
                <w:sz w:val="24"/>
              </w:rPr>
              <w:t>IATA</w:t>
            </w:r>
            <w:r>
              <w:rPr>
                <w:rFonts w:hint="eastAsia" w:hAnsi="Arial"/>
                <w:sz w:val="24"/>
              </w:rPr>
              <w:t>准则。</w:t>
            </w:r>
          </w:p>
        </w:tc>
      </w:tr>
      <w:tr w14:paraId="6E606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402" w:type="dxa"/>
            <w:tcBorders>
              <w:bottom w:val="single" w:color="auto" w:sz="4" w:space="0"/>
            </w:tcBorders>
          </w:tcPr>
          <w:p w14:paraId="2C5784AC">
            <w:pPr>
              <w:numPr>
                <w:ilvl w:val="1"/>
                <w:numId w:val="10"/>
              </w:numPr>
              <w:tabs>
                <w:tab w:val="left" w:pos="601"/>
                <w:tab w:val="clear" w:pos="780"/>
              </w:tabs>
              <w:spacing w:line="300" w:lineRule="auto"/>
              <w:ind w:left="601" w:hanging="601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379" w:type="dxa"/>
            <w:tcBorders>
              <w:bottom w:val="single" w:color="auto" w:sz="4" w:space="0"/>
            </w:tcBorders>
          </w:tcPr>
          <w:p w14:paraId="3A9F06C3">
            <w:pPr>
              <w:spacing w:line="300" w:lineRule="auto"/>
              <w:ind w:left="34" w:right="480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非危险货物。</w:t>
            </w:r>
          </w:p>
          <w:p w14:paraId="028815EE">
            <w:pPr>
              <w:spacing w:line="300" w:lineRule="auto"/>
              <w:ind w:left="34" w:right="480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温度不可高于</w:t>
            </w:r>
            <w:r>
              <w:rPr>
                <w:sz w:val="24"/>
              </w:rPr>
              <w:t>+50</w:t>
            </w:r>
            <w:r>
              <w:rPr>
                <w:rFonts w:hint="eastAsia"/>
                <w:sz w:val="24"/>
              </w:rPr>
              <w:t>℃，温度不可低于－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℃。</w:t>
            </w:r>
          </w:p>
          <w:p w14:paraId="7E589BD1">
            <w:pPr>
              <w:spacing w:line="300" w:lineRule="auto"/>
              <w:ind w:left="34" w:right="480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远离食物、酸和碱。</w:t>
            </w:r>
          </w:p>
        </w:tc>
      </w:tr>
    </w:tbl>
    <w:p w14:paraId="10CB521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466CA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71F2E484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3E69E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nil"/>
            </w:tcBorders>
          </w:tcPr>
          <w:p w14:paraId="62097261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物质或混合物的相关安全、健康和环保法律法规</w:t>
            </w:r>
          </w:p>
        </w:tc>
      </w:tr>
      <w:tr w14:paraId="561CD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nil"/>
              <w:bottom w:val="nil"/>
            </w:tcBorders>
          </w:tcPr>
          <w:p w14:paraId="372BC5DC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30562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nil"/>
              <w:bottom w:val="nil"/>
            </w:tcBorders>
          </w:tcPr>
          <w:p w14:paraId="655F01E0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208E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nil"/>
              <w:bottom w:val="nil"/>
            </w:tcBorders>
          </w:tcPr>
          <w:p w14:paraId="3EFAB060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危险化学品安全管理条例，国务院令</w:t>
            </w:r>
            <w:r>
              <w:rPr>
                <w:rFonts w:cs="Arial"/>
                <w:bCs/>
                <w:kern w:val="0"/>
                <w:sz w:val="24"/>
              </w:rPr>
              <w:t>344</w:t>
            </w:r>
            <w:r>
              <w:rPr>
                <w:rFonts w:hint="eastAsia" w:cs="Arial"/>
                <w:bCs/>
                <w:kern w:val="0"/>
                <w:sz w:val="24"/>
              </w:rPr>
              <w:t>号</w:t>
            </w:r>
          </w:p>
        </w:tc>
      </w:tr>
      <w:tr w14:paraId="54657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nil"/>
              <w:bottom w:val="nil"/>
            </w:tcBorders>
          </w:tcPr>
          <w:p w14:paraId="1D83E589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GB/T 16483-2008 </w:t>
            </w:r>
            <w:r>
              <w:rPr>
                <w:rFonts w:hint="eastAsia" w:cs="Arial"/>
                <w:bCs/>
                <w:kern w:val="0"/>
                <w:sz w:val="24"/>
              </w:rPr>
              <w:t>化学品安全技术说明书内容和项目顺序</w:t>
            </w:r>
          </w:p>
        </w:tc>
      </w:tr>
      <w:tr w14:paraId="09F4A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nil"/>
              <w:bottom w:val="nil"/>
            </w:tcBorders>
          </w:tcPr>
          <w:p w14:paraId="2B334FDE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13690-2009 </w:t>
            </w:r>
            <w:r>
              <w:rPr>
                <w:rFonts w:hint="eastAsia" w:cs="Arial"/>
                <w:bCs/>
                <w:kern w:val="0"/>
                <w:sz w:val="24"/>
              </w:rPr>
              <w:t>化学品分类和危险性公示通则</w:t>
            </w:r>
          </w:p>
        </w:tc>
      </w:tr>
      <w:tr w14:paraId="26EB6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nil"/>
              <w:bottom w:val="single" w:color="auto" w:sz="4" w:space="0"/>
            </w:tcBorders>
          </w:tcPr>
          <w:p w14:paraId="4A5936BF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20576- GB20598 </w:t>
            </w:r>
            <w:r>
              <w:rPr>
                <w:rFonts w:hint="eastAsia" w:cs="Arial"/>
                <w:bCs/>
                <w:kern w:val="0"/>
                <w:sz w:val="24"/>
              </w:rPr>
              <w:t>化学品分类，警示标签和警示性说明安全规范</w:t>
            </w:r>
          </w:p>
        </w:tc>
      </w:tr>
    </w:tbl>
    <w:p w14:paraId="5416B991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73D19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26C5C0F">
            <w:p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1DC10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</w:tcPr>
          <w:p w14:paraId="7A0D80D0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5A88FC62">
      <w:pPr>
        <w:spacing w:line="300" w:lineRule="auto"/>
        <w:ind w:right="480"/>
        <w:rPr>
          <w:sz w:val="24"/>
        </w:rPr>
      </w:pPr>
    </w:p>
    <w:p w14:paraId="26E7DE86"/>
    <w:sectPr>
      <w:headerReference r:id="rId3" w:type="default"/>
      <w:footerReference r:id="rId4" w:type="default"/>
      <w:pgSz w:w="11906" w:h="16838"/>
      <w:pgMar w:top="2503" w:right="1077" w:bottom="1418" w:left="1077" w:header="851" w:footer="737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C7A57E4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0516FFF3">
          <w:pPr>
            <w:pStyle w:val="2"/>
            <w:jc w:val="both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 PA-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3223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62F9A84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</w:t>
          </w:r>
          <w:r>
            <w:rPr>
              <w:rFonts w:hint="eastAsia"/>
              <w:kern w:val="0"/>
              <w:sz w:val="20"/>
              <w:szCs w:val="21"/>
            </w:rPr>
            <w:t>修订日期：</w:t>
          </w:r>
          <w:r>
            <w:rPr>
              <w:kern w:val="0"/>
              <w:sz w:val="20"/>
              <w:szCs w:val="21"/>
            </w:rPr>
            <w:t>20</w:t>
          </w:r>
          <w:r>
            <w:rPr>
              <w:rFonts w:hint="eastAsia"/>
              <w:kern w:val="0"/>
              <w:sz w:val="20"/>
              <w:szCs w:val="21"/>
            </w:rPr>
            <w:t>2</w:t>
          </w:r>
          <w:r>
            <w:rPr>
              <w:rFonts w:hint="eastAsia"/>
              <w:kern w:val="0"/>
              <w:sz w:val="20"/>
              <w:szCs w:val="21"/>
              <w:lang w:val="en-US" w:eastAsia="zh-CN"/>
            </w:rPr>
            <w:t>6</w:t>
          </w:r>
          <w:r>
            <w:rPr>
              <w:kern w:val="0"/>
              <w:sz w:val="20"/>
              <w:szCs w:val="21"/>
            </w:rPr>
            <w:t>/</w:t>
          </w:r>
          <w:r>
            <w:rPr>
              <w:rFonts w:hint="eastAsia"/>
              <w:kern w:val="0"/>
              <w:sz w:val="20"/>
              <w:szCs w:val="21"/>
              <w:lang w:val="en-US" w:eastAsia="zh-CN"/>
            </w:rPr>
            <w:t>10</w:t>
          </w:r>
          <w:r>
            <w:rPr>
              <w:kern w:val="0"/>
              <w:sz w:val="20"/>
              <w:szCs w:val="21"/>
            </w:rPr>
            <w:t>/</w:t>
          </w:r>
          <w:r>
            <w:rPr>
              <w:rFonts w:hint="eastAsia"/>
              <w:kern w:val="0"/>
              <w:sz w:val="20"/>
              <w:szCs w:val="21"/>
            </w:rPr>
            <w:t>2</w:t>
          </w:r>
          <w:r>
            <w:rPr>
              <w:rFonts w:hint="eastAsia"/>
              <w:kern w:val="0"/>
              <w:sz w:val="20"/>
              <w:szCs w:val="21"/>
              <w:lang w:val="en-US" w:eastAsia="zh-CN"/>
            </w:rPr>
            <w:t>4</w:t>
          </w: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    </w:t>
          </w:r>
        </w:p>
      </w:tc>
    </w:tr>
    <w:tr w14:paraId="291A502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70E23BC9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016F0DA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40CDE2CD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A5219A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40B60570">
    <w:pPr>
      <w:wordWrap w:val="0"/>
      <w:jc w:val="right"/>
      <w:rPr>
        <w:rFonts w:ascii="Arial" w:hAnsi="Arial" w:eastAsia="楷体_GB2312"/>
        <w:sz w:val="18"/>
        <w:szCs w:val="18"/>
      </w:rPr>
    </w:pPr>
    <w:r>
      <w:rPr>
        <w:rFonts w:ascii="Arial" w:eastAsia="楷体_GB2312"/>
        <w:sz w:val="18"/>
        <w:szCs w:val="18"/>
      </w:rPr>
      <w:t>Version</w:t>
    </w:r>
    <w:r>
      <w:rPr>
        <w:rFonts w:hint="eastAsia" w:ascii="Arial" w:eastAsia="楷体_GB2312"/>
        <w:sz w:val="18"/>
        <w:szCs w:val="18"/>
      </w:rPr>
      <w:t>：</w:t>
    </w:r>
    <w:r>
      <w:rPr>
        <w:rFonts w:ascii="Arial" w:hAnsi="Arial" w:eastAsia="楷体_GB2312"/>
        <w:sz w:val="18"/>
        <w:szCs w:val="18"/>
      </w:rPr>
      <w:t>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22AA6E6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32E46856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eastAsia="楷体_GB2312"/>
              <w:b/>
              <w:sz w:val="36"/>
              <w:szCs w:val="36"/>
            </w:rPr>
            <w:t>P</w:t>
          </w:r>
          <w:r>
            <w:rPr>
              <w:rFonts w:hint="eastAsia" w:eastAsia="楷体_GB2312"/>
              <w:b/>
              <w:sz w:val="36"/>
              <w:szCs w:val="36"/>
            </w:rPr>
            <w:t>A</w:t>
          </w:r>
          <w:r>
            <w:rPr>
              <w:rFonts w:eastAsia="楷体_GB2312"/>
              <w:b/>
              <w:sz w:val="36"/>
              <w:szCs w:val="36"/>
            </w:rPr>
            <w:t>-</w:t>
          </w: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3223</w:t>
          </w:r>
        </w:p>
      </w:tc>
    </w:tr>
  </w:tbl>
  <w:p w14:paraId="3B4BCC51">
    <w:pPr>
      <w:jc w:val="left"/>
      <w:rPr>
        <w:rFonts w:ascii="Arial" w:hAnsi="Arial" w:eastAsia="楷体_GB2312"/>
        <w:color w:val="7F7F7F"/>
        <w:sz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10568C"/>
    <w:multiLevelType w:val="multilevel"/>
    <w:tmpl w:val="0D10568C"/>
    <w:lvl w:ilvl="0" w:tentative="0">
      <w:start w:val="14"/>
      <w:numFmt w:val="decimal"/>
      <w:lvlText w:val="%1"/>
      <w:lvlJc w:val="left"/>
      <w:pPr>
        <w:tabs>
          <w:tab w:val="left" w:pos="780"/>
        </w:tabs>
        <w:ind w:left="780" w:hanging="78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780"/>
        </w:tabs>
        <w:ind w:left="780" w:hanging="780"/>
      </w:pPr>
      <w:rPr>
        <w:rFonts w:hint="default" w:cs="Times New Roman"/>
      </w:rPr>
    </w:lvl>
    <w:lvl w:ilvl="2" w:tentative="0">
      <w:start w:val="1"/>
      <w:numFmt w:val="decimal"/>
      <w:lvlText w:val="%1.%2.%3"/>
      <w:lvlJc w:val="left"/>
      <w:pPr>
        <w:tabs>
          <w:tab w:val="left" w:pos="780"/>
        </w:tabs>
        <w:ind w:left="780" w:hanging="78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80"/>
        </w:tabs>
        <w:ind w:left="780" w:hanging="78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20575178"/>
    <w:multiLevelType w:val="multilevel"/>
    <w:tmpl w:val="20575178"/>
    <w:lvl w:ilvl="0" w:tentative="0">
      <w:start w:val="1"/>
      <w:numFmt w:val="decimal"/>
      <w:lvlText w:val="9.%1"/>
      <w:lvlJc w:val="left"/>
      <w:pPr>
        <w:tabs>
          <w:tab w:val="left" w:pos="0"/>
        </w:tabs>
        <w:ind w:left="420" w:hanging="420"/>
      </w:pPr>
      <w:rPr>
        <w:rFonts w:hint="eastAsia" w:cs="Times New Roman"/>
        <w:b/>
        <w:sz w:val="21"/>
        <w:szCs w:val="21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cs="Times New Roman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/>
      </w:r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/>
      </w:rPr>
    </w:lvl>
  </w:abstractNum>
  <w:abstractNum w:abstractNumId="2">
    <w:nsid w:val="357A479D"/>
    <w:multiLevelType w:val="multilevel"/>
    <w:tmpl w:val="357A479D"/>
    <w:lvl w:ilvl="0" w:tentative="0">
      <w:start w:val="1"/>
      <w:numFmt w:val="decimal"/>
      <w:lvlText w:val="5.%1."/>
      <w:lvlJc w:val="left"/>
      <w:pPr>
        <w:tabs>
          <w:tab w:val="left" w:pos="0"/>
        </w:tabs>
        <w:ind w:left="420" w:hanging="420"/>
      </w:pPr>
      <w:rPr>
        <w:rFonts w:hint="eastAsia" w:cs="Times New Roman"/>
        <w:b/>
        <w:sz w:val="21"/>
        <w:szCs w:val="21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cs="Times New Roman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/>
      </w:r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/>
      </w:rPr>
    </w:lvl>
  </w:abstractNum>
  <w:abstractNum w:abstractNumId="3">
    <w:nsid w:val="3A5C1E05"/>
    <w:multiLevelType w:val="multilevel"/>
    <w:tmpl w:val="3A5C1E05"/>
    <w:lvl w:ilvl="0" w:tentative="0">
      <w:start w:val="12"/>
      <w:numFmt w:val="decimal"/>
      <w:lvlText w:val="%1"/>
      <w:lvlJc w:val="left"/>
      <w:pPr>
        <w:tabs>
          <w:tab w:val="left" w:pos="780"/>
        </w:tabs>
        <w:ind w:left="780" w:hanging="78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780"/>
        </w:tabs>
        <w:ind w:left="780" w:hanging="780"/>
      </w:pPr>
      <w:rPr>
        <w:rFonts w:hint="default" w:cs="Times New Roman"/>
      </w:rPr>
    </w:lvl>
    <w:lvl w:ilvl="2" w:tentative="0">
      <w:start w:val="1"/>
      <w:numFmt w:val="decimal"/>
      <w:lvlText w:val="%1.%2.%3"/>
      <w:lvlJc w:val="left"/>
      <w:pPr>
        <w:tabs>
          <w:tab w:val="left" w:pos="780"/>
        </w:tabs>
        <w:ind w:left="780" w:hanging="78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80"/>
        </w:tabs>
        <w:ind w:left="780" w:hanging="78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4">
    <w:nsid w:val="50075728"/>
    <w:multiLevelType w:val="multilevel"/>
    <w:tmpl w:val="50075728"/>
    <w:lvl w:ilvl="0" w:tentative="0">
      <w:start w:val="1"/>
      <w:numFmt w:val="decimal"/>
      <w:lvlText w:val="10.%1"/>
      <w:lvlJc w:val="left"/>
      <w:pPr>
        <w:ind w:left="840" w:hanging="420"/>
      </w:pPr>
      <w:rPr>
        <w:rFonts w:hint="eastAsia" w:cs="Times New Roman"/>
        <w:b/>
        <w:sz w:val="21"/>
        <w:szCs w:val="21"/>
      </w:rPr>
    </w:lvl>
    <w:lvl w:ilvl="1" w:tentative="0">
      <w:start w:val="1"/>
      <w:numFmt w:val="lowerLetter"/>
      <w:lvlText w:val="%2)"/>
      <w:lvlJc w:val="left"/>
      <w:pPr>
        <w:ind w:left="1260" w:hanging="420"/>
      </w:pPr>
      <w:rPr>
        <w:rFonts w:cs="Times New Roman"/>
      </w:rPr>
    </w:lvl>
    <w:lvl w:ilvl="2" w:tentative="0">
      <w:start w:val="1"/>
      <w:numFmt w:val="lowerRoman"/>
      <w:lvlText w:val="%3."/>
      <w:lvlJc w:val="right"/>
      <w:pPr>
        <w:ind w:left="1680" w:hanging="420"/>
      </w:pPr>
      <w:rPr>
        <w:rFonts w:cs="Times New Roman"/>
      </w:rPr>
    </w:lvl>
    <w:lvl w:ilvl="3" w:tentative="0">
      <w:start w:val="1"/>
      <w:numFmt w:val="decimal"/>
      <w:lvlText w:val="%4."/>
      <w:lvlJc w:val="left"/>
      <w:pPr>
        <w:ind w:left="2100" w:hanging="420"/>
      </w:pPr>
      <w:rPr>
        <w:rFonts w:cs="Times New Roman"/>
      </w:rPr>
    </w:lvl>
    <w:lvl w:ilvl="4" w:tentative="0">
      <w:start w:val="1"/>
      <w:numFmt w:val="lowerLetter"/>
      <w:lvlText w:val="%5)"/>
      <w:lvlJc w:val="left"/>
      <w:pPr>
        <w:ind w:left="2520" w:hanging="420"/>
      </w:pPr>
      <w:rPr>
        <w:rFonts w:cs="Times New Roman"/>
      </w:rPr>
    </w:lvl>
    <w:lvl w:ilvl="5" w:tentative="0">
      <w:start w:val="1"/>
      <w:numFmt w:val="lowerRoman"/>
      <w:lvlText w:val="%6."/>
      <w:lvlJc w:val="right"/>
      <w:pPr>
        <w:ind w:left="2940" w:hanging="42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ind w:left="3360" w:hanging="420"/>
      </w:pPr>
      <w:rPr>
        <w:rFonts w:cs="Times New Roman"/>
      </w:rPr>
    </w:lvl>
    <w:lvl w:ilvl="7" w:tentative="0">
      <w:start w:val="1"/>
      <w:numFmt w:val="lowerLetter"/>
      <w:lvlText w:val="%8)"/>
      <w:lvlJc w:val="left"/>
      <w:pPr>
        <w:ind w:left="3780" w:hanging="420"/>
      </w:pPr>
      <w:rPr>
        <w:rFonts w:cs="Times New Roman"/>
      </w:rPr>
    </w:lvl>
    <w:lvl w:ilvl="8" w:tentative="0">
      <w:start w:val="1"/>
      <w:numFmt w:val="lowerRoman"/>
      <w:lvlText w:val="%9."/>
      <w:lvlJc w:val="right"/>
      <w:pPr>
        <w:ind w:left="4200" w:hanging="420"/>
      </w:pPr>
      <w:rPr>
        <w:rFonts w:cs="Times New Roman"/>
      </w:rPr>
    </w:lvl>
  </w:abstractNum>
  <w:abstractNum w:abstractNumId="5">
    <w:nsid w:val="5F5B032F"/>
    <w:multiLevelType w:val="multilevel"/>
    <w:tmpl w:val="5F5B032F"/>
    <w:lvl w:ilvl="0" w:tentative="0">
      <w:start w:val="1"/>
      <w:numFmt w:val="decimal"/>
      <w:lvlText w:val="%1"/>
      <w:lvlJc w:val="left"/>
      <w:pPr>
        <w:tabs>
          <w:tab w:val="left" w:pos="660"/>
        </w:tabs>
        <w:ind w:left="660" w:hanging="66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660"/>
        </w:tabs>
        <w:ind w:left="660" w:hanging="66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6">
    <w:nsid w:val="5FF5793B"/>
    <w:multiLevelType w:val="multilevel"/>
    <w:tmpl w:val="5FF5793B"/>
    <w:lvl w:ilvl="0" w:tentative="0">
      <w:start w:val="1"/>
      <w:numFmt w:val="decimal"/>
      <w:lvlText w:val="4.%1."/>
      <w:lvlJc w:val="left"/>
      <w:pPr>
        <w:ind w:left="420" w:hanging="420"/>
      </w:pPr>
      <w:rPr>
        <w:rFonts w:hint="eastAsia" w:cs="Times New Roman"/>
        <w:b/>
        <w:sz w:val="21"/>
        <w:szCs w:val="21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cs="Times New Roman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/>
      </w:r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/>
      </w:rPr>
    </w:lvl>
  </w:abstractNum>
  <w:abstractNum w:abstractNumId="7">
    <w:nsid w:val="6D6B60C3"/>
    <w:multiLevelType w:val="multilevel"/>
    <w:tmpl w:val="6D6B60C3"/>
    <w:lvl w:ilvl="0" w:tentative="0">
      <w:start w:val="1"/>
      <w:numFmt w:val="decimal"/>
      <w:lvlText w:val="6.%1."/>
      <w:lvlJc w:val="left"/>
      <w:pPr>
        <w:tabs>
          <w:tab w:val="left" w:pos="0"/>
        </w:tabs>
        <w:ind w:left="420" w:hanging="420"/>
      </w:pPr>
      <w:rPr>
        <w:rFonts w:hint="eastAsia" w:cs="Times New Roman"/>
        <w:b/>
        <w:sz w:val="21"/>
        <w:szCs w:val="21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cs="Times New Roman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/>
      </w:r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/>
      </w:rPr>
    </w:lvl>
  </w:abstractNum>
  <w:abstractNum w:abstractNumId="8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9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5"/>
  </w:num>
  <w:num w:numId="2">
    <w:abstractNumId w:val="9"/>
  </w:num>
  <w:num w:numId="3">
    <w:abstractNumId w:val="6"/>
  </w:num>
  <w:num w:numId="4">
    <w:abstractNumId w:val="2"/>
  </w:num>
  <w:num w:numId="5">
    <w:abstractNumId w:val="7"/>
  </w:num>
  <w:num w:numId="6">
    <w:abstractNumId w:val="8"/>
  </w:num>
  <w:num w:numId="7">
    <w:abstractNumId w:val="1"/>
  </w:num>
  <w:num w:numId="8">
    <w:abstractNumId w:val="4"/>
  </w:num>
  <w:num w:numId="9">
    <w:abstractNumId w:val="3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cwMjQ2Y2VjOWFhZTAwOTVmM2FmNjdjM2EzMTA0M2EifQ=="/>
  </w:docVars>
  <w:rsids>
    <w:rsidRoot w:val="003F27B9"/>
    <w:rsid w:val="00054D63"/>
    <w:rsid w:val="000838B0"/>
    <w:rsid w:val="000A232D"/>
    <w:rsid w:val="000B5BAC"/>
    <w:rsid w:val="000D08E9"/>
    <w:rsid w:val="000F3AE7"/>
    <w:rsid w:val="001372C0"/>
    <w:rsid w:val="00153234"/>
    <w:rsid w:val="001951AC"/>
    <w:rsid w:val="001D5708"/>
    <w:rsid w:val="0022163F"/>
    <w:rsid w:val="00221867"/>
    <w:rsid w:val="002517BB"/>
    <w:rsid w:val="00266D33"/>
    <w:rsid w:val="00270828"/>
    <w:rsid w:val="002E1F13"/>
    <w:rsid w:val="00306061"/>
    <w:rsid w:val="00322097"/>
    <w:rsid w:val="0034451F"/>
    <w:rsid w:val="003457F9"/>
    <w:rsid w:val="003C1007"/>
    <w:rsid w:val="003F27B9"/>
    <w:rsid w:val="00412EA8"/>
    <w:rsid w:val="004148B3"/>
    <w:rsid w:val="00427773"/>
    <w:rsid w:val="00431DDB"/>
    <w:rsid w:val="00456CDB"/>
    <w:rsid w:val="004A3278"/>
    <w:rsid w:val="004F7045"/>
    <w:rsid w:val="00522626"/>
    <w:rsid w:val="005862EB"/>
    <w:rsid w:val="005C42F9"/>
    <w:rsid w:val="005C609F"/>
    <w:rsid w:val="005F347E"/>
    <w:rsid w:val="006321EB"/>
    <w:rsid w:val="00663A83"/>
    <w:rsid w:val="006854CF"/>
    <w:rsid w:val="006861E3"/>
    <w:rsid w:val="00716A60"/>
    <w:rsid w:val="0071716A"/>
    <w:rsid w:val="00754F1F"/>
    <w:rsid w:val="007C493E"/>
    <w:rsid w:val="007D2C2C"/>
    <w:rsid w:val="007D6FBC"/>
    <w:rsid w:val="007E4015"/>
    <w:rsid w:val="00853404"/>
    <w:rsid w:val="00880DD7"/>
    <w:rsid w:val="00887769"/>
    <w:rsid w:val="00891F96"/>
    <w:rsid w:val="008B4F63"/>
    <w:rsid w:val="008C4A6C"/>
    <w:rsid w:val="008D3B67"/>
    <w:rsid w:val="008D607B"/>
    <w:rsid w:val="009073AE"/>
    <w:rsid w:val="0092218A"/>
    <w:rsid w:val="00937D50"/>
    <w:rsid w:val="00943252"/>
    <w:rsid w:val="0097303B"/>
    <w:rsid w:val="009761AC"/>
    <w:rsid w:val="009D4089"/>
    <w:rsid w:val="009F52FA"/>
    <w:rsid w:val="00A21619"/>
    <w:rsid w:val="00A26D98"/>
    <w:rsid w:val="00A5629B"/>
    <w:rsid w:val="00A902B6"/>
    <w:rsid w:val="00AB04AA"/>
    <w:rsid w:val="00AB135A"/>
    <w:rsid w:val="00AB7498"/>
    <w:rsid w:val="00AE3B0D"/>
    <w:rsid w:val="00B20B21"/>
    <w:rsid w:val="00B26FBE"/>
    <w:rsid w:val="00B42908"/>
    <w:rsid w:val="00B500B7"/>
    <w:rsid w:val="00B55117"/>
    <w:rsid w:val="00BA1097"/>
    <w:rsid w:val="00BA6ABB"/>
    <w:rsid w:val="00BE10CE"/>
    <w:rsid w:val="00C45C80"/>
    <w:rsid w:val="00C76047"/>
    <w:rsid w:val="00C7667B"/>
    <w:rsid w:val="00CA5CC5"/>
    <w:rsid w:val="00CD6053"/>
    <w:rsid w:val="00D13E1C"/>
    <w:rsid w:val="00D32CC2"/>
    <w:rsid w:val="00D42F7A"/>
    <w:rsid w:val="00D75E1E"/>
    <w:rsid w:val="00DA78A9"/>
    <w:rsid w:val="00DB72E1"/>
    <w:rsid w:val="00E34CDB"/>
    <w:rsid w:val="00E52233"/>
    <w:rsid w:val="00E54455"/>
    <w:rsid w:val="00E87E33"/>
    <w:rsid w:val="00F60215"/>
    <w:rsid w:val="00F6692C"/>
    <w:rsid w:val="00F700A9"/>
    <w:rsid w:val="00F73EF3"/>
    <w:rsid w:val="00F9634F"/>
    <w:rsid w:val="00FE5278"/>
    <w:rsid w:val="01CC46A2"/>
    <w:rsid w:val="07A46C3D"/>
    <w:rsid w:val="0A740DF3"/>
    <w:rsid w:val="0B600B53"/>
    <w:rsid w:val="0EC50AAB"/>
    <w:rsid w:val="16517144"/>
    <w:rsid w:val="1B6325AC"/>
    <w:rsid w:val="1C054B1F"/>
    <w:rsid w:val="22205541"/>
    <w:rsid w:val="22230786"/>
    <w:rsid w:val="243C0D49"/>
    <w:rsid w:val="26B95EC4"/>
    <w:rsid w:val="2B571BE7"/>
    <w:rsid w:val="2DB26AF5"/>
    <w:rsid w:val="36122C4A"/>
    <w:rsid w:val="3BB62EE3"/>
    <w:rsid w:val="3C003FB4"/>
    <w:rsid w:val="3ECF7028"/>
    <w:rsid w:val="436C5AEA"/>
    <w:rsid w:val="4960490F"/>
    <w:rsid w:val="4CF260A7"/>
    <w:rsid w:val="4DB4181A"/>
    <w:rsid w:val="4EAB53B5"/>
    <w:rsid w:val="50CF7E09"/>
    <w:rsid w:val="558C5584"/>
    <w:rsid w:val="572702C5"/>
    <w:rsid w:val="58D72B4E"/>
    <w:rsid w:val="59723028"/>
    <w:rsid w:val="5D797325"/>
    <w:rsid w:val="5ED36ACB"/>
    <w:rsid w:val="601E51B9"/>
    <w:rsid w:val="6ADE4F3B"/>
    <w:rsid w:val="6C943D9F"/>
    <w:rsid w:val="6D1774EE"/>
    <w:rsid w:val="6F524E6B"/>
    <w:rsid w:val="6FAE7D8E"/>
    <w:rsid w:val="70634D55"/>
    <w:rsid w:val="74F13C64"/>
    <w:rsid w:val="75C46A28"/>
    <w:rsid w:val="78F9438C"/>
    <w:rsid w:val="7A3045C8"/>
    <w:rsid w:val="7D9343B6"/>
    <w:rsid w:val="7FDF0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Hyperlink"/>
    <w:basedOn w:val="6"/>
    <w:unhideWhenUsed/>
    <w:qFormat/>
    <w:uiPriority w:val="99"/>
    <w:rPr>
      <w:color w:val="0000FF"/>
      <w:u w:val="single"/>
    </w:rPr>
  </w:style>
  <w:style w:type="character" w:customStyle="1" w:styleId="8">
    <w:name w:val="页眉 字符"/>
    <w:basedOn w:val="6"/>
    <w:link w:val="3"/>
    <w:semiHidden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sz w:val="18"/>
      <w:szCs w:val="18"/>
    </w:rPr>
  </w:style>
  <w:style w:type="paragraph" w:customStyle="1" w:styleId="10">
    <w:name w:val="列出段落1"/>
    <w:basedOn w:val="1"/>
    <w:qFormat/>
    <w:uiPriority w:val="34"/>
    <w:pPr>
      <w:ind w:firstLine="420" w:firstLineChars="200"/>
    </w:p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2478</Words>
  <Characters>2815</Characters>
  <Lines>24</Lines>
  <Paragraphs>6</Paragraphs>
  <TotalTime>86</TotalTime>
  <ScaleCrop>false</ScaleCrop>
  <LinksUpToDate>false</LinksUpToDate>
  <CharactersWithSpaces>3029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2017-04-19T01:45:00Z</dcterms:created>
  <dc:creator>Windows 用户</dc:creator>
  <cp:lastModifiedBy>狮子座的兔子</cp:lastModifiedBy>
  <cp:lastPrinted>2020-07-28T07:38:00Z</cp:lastPrinted>
  <dcterms:modified xsi:type="dcterms:W3CDTF">2026-10-24T11:07:11Z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344778BEEA3F4FC9BA9B7B7923E55730</vt:lpwstr>
  </property>
  <property fmtid="{D5CDD505-2E9C-101B-9397-08002B2CF9AE}" pid="4" name="KSOTemplateDocerSaveRecord">
    <vt:lpwstr>eyJoZGlkIjoiMzcwMjQ2Y2VjOWFhZTAwOTVmM2FmNjdjM2EzMTA0M2EiLCJ1c2VySWQiOiI5MTI3NTMxMjQifQ==</vt:lpwstr>
  </property>
</Properties>
</file>