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羟基丙烯酸分散体 PA-3223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丙烯酸聚合物分散体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涂料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英德市国彩精细化工有限公司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广东省英德市白沙镇太平村更古坑凯迪工业园区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86-763-2811205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86-763-2811024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9795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  <w:gridSpan w:val="2"/>
          </w:tcPr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GHS危险性类别: 无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羟基丙烯酸酯聚合物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水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丙二醇丁醚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N,N二甲基乙醇胺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商业机密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7732-18-5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5131-66-8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108-01-0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46±5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45.5±5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7±3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1.5±0.5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羟基丙烯酸酯聚合物GHS危险性分类：不适用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请注意以下物质：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N,N-二甲基乙醇胺，中和剂，已键合为盐，质量浓度小于2.0%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GHS分类：依然液体3 H226；急性毒性4 吸入性 H332；急性毒性4 经皮H312；皮肤腐蚀1B H314；特异性靶器官系统毒性（一次接触）3 H335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特定阈值浓度≥5%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特异性靶器官系统毒性（一次接触）3 H335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象形图：无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警告词：警告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危害性说明:没有明显的已知作用或严重危险。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防范说明: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  <w:b/>
              </w:rPr>
              <w:t xml:space="preserve">预防措施：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操作时穿戴必要的防护用品（手套、防护镜、工作服等）。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操作后彻底清洗身体接触部位。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作业场所不得进食，饮水或吸烟。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在室外或通风良好处操作。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  <w:b/>
              </w:rPr>
              <w:t xml:space="preserve">事故响应：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吸入：一旦吸入，如有不适，就医。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眼睛、皮肤接触；使用肥皂、清水等清洗即可。如有不适感，就医。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食入：立即漱口，禁止催吐，立即就医诊治。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泄露：收集泄漏物。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灭火：火灾时，使用干粉、泡沫、二氧化碳灭火。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  <w:b/>
              </w:rPr>
              <w:t xml:space="preserve">安全存储：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请置于避光、阴凉干燥处存放，存储温度应保持在5-35℃，避免霜冻，保持产品包装完整。每次取用之后立即密封，打开包装后尽快使用完毕。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  <w:b/>
              </w:rPr>
              <w:t xml:space="preserve">废弃处置：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使用后的空桶未经无害化处理前，不得存储食物及其他物品，以免对人体、环境造成危害；包装物的回收、利用、处置应符合国家及当地相关法律、法规规定，因包装物处置不当造成的危害及损失，由处置方承担。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  <w:b/>
              </w:rPr>
              <w:t xml:space="preserve">物理化学危险：对水体、土壤可造成一定的污染。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  <w:b/>
              </w:rPr>
              <w:t xml:space="preserve">健康危害：无</w:t>
            </w:r>
          </w:p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  <w:b/>
              </w:rPr>
              <w:t xml:space="preserve">环境危害：无危险物质释放，防止进入下水道，以防聚合物沉积阻塞下水道。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tabs>
                <w:tab w:val="clear" w:pos="5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tabs>
                <w:tab w:val="clear" w:pos="5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羟基丙烯酸酯聚合物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商业机密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46±5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45.5±5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丙二醇丁醚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5131-66-8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7±3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N,N二甲基乙醇胺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108-01-0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1.5±0.5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禁止催吐，须就医。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撑开眼睑，用温水长时间冲洗（至少10分钟），就诊眼科医生。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若刺激呼吸道，就医。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二氧化碳（CO2），泡沫，灭火粉末，大火时应用喷洒水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燃烧时释放一氧化碳、二氧化碳、氮氧化物和少量的氰化氢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戴防护设备。远离火源。</w:t>
              <w:br/>
              <w:t>确保充分的通风/排气。令未授权人员离开。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540"/>
              </w:tabs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操作时遵守化学品的常见预防措施。避免与皮肤和眼睛接触。</w:t>
              <w:br/>
              <w:t>远离食物、饮料和烟草。休息以前和工作结束时洗手。将工作服单独存放。</w:t>
              <w:br/>
              <w:t>更换被污染或浸湿的衣物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540"/>
              </w:tabs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容器保持紧闭，存储在干燥通风处。为保持产品质量，必须遵守我们产品信息表的储存条件。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  <w:tr w14:paraId="4BA4B64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83F79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工程控制：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9552A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根据EC指令2006/121/EG,无可用的接触限值信息。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乳白色液体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95℃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约1.06g/cm3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可混溶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动力粘度（25℃）：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50-4000 mPa.s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46±2%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在热分解过程中生成易燃有害气体。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该产品无可用的毒理学研究。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  <w:gridSpan w:val="4"/>
          </w:tcPr>
          <w:p>
            <w:pPr>
              <w:jc w:val="left"/>
              <w:spacing w:line="300" w:lineRule="auto"/>
            </w:pPr>
            <w:r>
              <w:rPr>
                <w:rFonts w:ascii="SimSun" w:eastAsia="SimSun" w:hAnsi="SimSun"/>
                <w:sz w:val="18"/>
              </w:rPr>
              <w:t xml:space="preserve">下面是这些成分的毒理学数据。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  <w:gridSpan w:val="4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该产品无可用的生态毒理学研究。禁止排入下水道，废水或土壤中。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该产品不易生物降解。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根据生态毒理学资料，该产品被划分为对鱼类和水蚤无害类。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非危险品陆运输方式，符合ADG准则。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非危险品海运方式，符合IMDG准则。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非危险品运输方式，符合IATA准则。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温度不可高于+50℃，温度不可低于－5℃。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危险化学品安全管理条例，国务院令344号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16483-2008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13690-2009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20576- GB20598 化学品分类，警示标签和警示性说明安全规范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英德市国彩精细化工有限公司 PA-3223-MSDS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修订日期：2026/10/26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PA-3223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