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Aqueous acrylic dispersion PA-3223</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Aqueous acrylic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coatings.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58CFEA4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5265585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2.1</w:t>
              <w:tab/>
            </w:r>
            <w:r>
              <w:rPr>
                <w:rFonts w:ascii="Arial" w:hAnsi="Arial" w:eastAsia="Arial" w:cs="Arial"/>
                <w:b/>
                <w:sz w:val="19"/>
                <w:szCs w:val="19"/>
              </w:rPr>
              <w:t xml:space="preserve">GHS Hazard Classification:</w:t>
            </w:r>
          </w:p>
        </w:tc>
        <w:tc>
          <w:tcPr>
            <w:tcW w:w="6276" w:type="dxa"/>
            <w:tcBorders>
              <w:top w:val="dotted" w:color="auto" w:sz="4" w:space="0"/>
              <w:left w:val="dotted" w:color="auto" w:sz="4" w:space="0"/>
              <w:bottom w:val="dotted" w:color="auto" w:sz="4" w:space="0"/>
            </w:tcBorders>
            <w:vAlign w:val="center"/>
          </w:tcPr>
          <w:p w14:paraId="5E05F77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Not classified as a hazardous chemical according to GHS.</w:t>
            </w:r>
          </w:p>
        </w:tc>
      </w:tr>
      <w:tr w14:paraId="1BAEF0F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53" w:hRule="atLeast"/>
        </w:trPr>
        <w:tc>
          <w:tcPr>
            <w:tcW w:w="3519" w:type="dxa"/>
            <w:tcBorders>
              <w:top w:val="dotted" w:color="auto" w:sz="4" w:space="0"/>
              <w:bottom w:val="dotted" w:color="auto" w:sz="4" w:space="0"/>
              <w:right w:val="dotted" w:color="auto" w:sz="4" w:space="0"/>
            </w:tcBorders>
            <w:vAlign w:val="center"/>
          </w:tcPr>
          <w:p w14:paraId="613D3BD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2.2</w:t>
              <w:tab/>
            </w:r>
            <w:r>
              <w:rPr>
                <w:rFonts w:ascii="Arial" w:hAnsi="Arial" w:eastAsia="Arial" w:cs="Arial"/>
                <w:b/>
                <w:sz w:val="19"/>
                <w:szCs w:val="19"/>
              </w:rPr>
              <w:t xml:space="preserve">GHS Label Elements:</w:t>
            </w:r>
          </w:p>
        </w:tc>
        <w:tc>
          <w:tcPr>
            <w:tcW w:w="6276" w:type="dxa"/>
            <w:tcBorders>
              <w:top w:val="dotted" w:color="auto" w:sz="4" w:space="0"/>
              <w:left w:val="dotted" w:color="auto" w:sz="4" w:space="0"/>
              <w:bottom w:val="dotted" w:color="auto" w:sz="4" w:space="0"/>
            </w:tcBorders>
            <w:vAlign w:val="center"/>
          </w:tcPr>
          <w:p w14:paraId="103A673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
            </w:r>
          </w:p>
        </w:tc>
      </w:tr>
      <w:tr w14:paraId="432D88C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3B1CC2D8">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pPr>
            <w:r>
              <w:rPr>
                <w:rFonts w:ascii="Arial" w:hAnsi="Arial" w:eastAsia="Arial" w:cs="Arial"/>
                <w:b/>
                <w:sz w:val="19"/>
                <w:szCs w:val="19"/>
              </w:rPr>
              <w:t xml:space="preserve">GHS Pictograms:</w:t>
            </w:r>
          </w:p>
        </w:tc>
        <w:tc>
          <w:tcPr>
            <w:tcW w:w="6276" w:type="dxa"/>
            <w:tcBorders>
              <w:top w:val="dotted" w:color="auto" w:sz="4" w:space="0"/>
              <w:left w:val="dotted" w:color="auto" w:sz="4" w:space="0"/>
              <w:bottom w:val="dotted" w:color="auto" w:sz="4" w:space="0"/>
            </w:tcBorders>
            <w:vAlign w:val="center"/>
          </w:tcPr>
          <w:p w14:paraId="698B97E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Not applicable</w:t>
            </w:r>
          </w:p>
        </w:tc>
      </w:tr>
      <w:tr w14:paraId="0D72AC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70C5F57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2.3</w:t>
              <w:tab/>
            </w:r>
            <w:r>
              <w:rPr>
                <w:rFonts w:ascii="Arial" w:hAnsi="Arial" w:eastAsia="Arial" w:cs="Arial"/>
                <w:b/>
                <w:sz w:val="19"/>
                <w:szCs w:val="19"/>
              </w:rPr>
              <w:t xml:space="preserve">Signal Word:</w:t>
            </w:r>
          </w:p>
        </w:tc>
        <w:tc>
          <w:tcPr>
            <w:tcW w:w="6276" w:type="dxa"/>
            <w:tcBorders>
              <w:top w:val="dotted" w:color="auto" w:sz="4" w:space="0"/>
              <w:left w:val="dotted" w:color="auto" w:sz="4" w:space="0"/>
              <w:bottom w:val="dotted" w:color="auto" w:sz="4" w:space="0"/>
            </w:tcBorders>
            <w:vAlign w:val="center"/>
          </w:tcPr>
          <w:p w14:paraId="6835187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Danger</w:t>
            </w:r>
          </w:p>
        </w:tc>
      </w:tr>
      <w:tr w14:paraId="40FDA4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1B9F7D79">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2.4</w:t>
              <w:tab/>
            </w:r>
            <w:r>
              <w:rPr>
                <w:rFonts w:ascii="Arial" w:hAnsi="Arial" w:eastAsia="Arial" w:cs="Arial"/>
                <w:b/>
                <w:sz w:val="19"/>
                <w:szCs w:val="19"/>
              </w:rPr>
              <w:t xml:space="preserve">Hazard Statements:</w:t>
            </w:r>
          </w:p>
        </w:tc>
        <w:tc>
          <w:tcPr>
            <w:tcW w:w="6276" w:type="dxa"/>
            <w:tcBorders>
              <w:top w:val="dotted" w:color="auto" w:sz="4" w:space="0"/>
              <w:left w:val="dotted" w:color="auto" w:sz="4" w:space="0"/>
              <w:bottom w:val="dotted" w:color="auto" w:sz="4" w:space="0"/>
            </w:tcBorders>
            <w:vAlign w:val="center"/>
          </w:tcPr>
          <w:p w14:paraId="7386FB9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
            </w:r>
          </w:p>
        </w:tc>
      </w:tr>
      <w:tr w14:paraId="76C1C02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0CA834F1">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2.5</w:t>
              <w:tab/>
            </w:r>
            <w:r>
              <w:rPr>
                <w:rFonts w:ascii="Arial" w:hAnsi="Arial" w:eastAsia="Arial" w:cs="Arial"/>
                <w:b/>
                <w:sz w:val="19"/>
                <w:szCs w:val="19"/>
              </w:rPr>
              <w:t xml:space="preserve">Precautionary Statements:</w:t>
            </w:r>
          </w:p>
        </w:tc>
        <w:tc>
          <w:tcPr>
            <w:tcW w:w="6276" w:type="dxa"/>
            <w:tcBorders>
              <w:top w:val="dotted" w:color="auto" w:sz="4" w:space="0"/>
              <w:left w:val="dotted" w:color="auto" w:sz="4" w:space="0"/>
              <w:bottom w:val="dotted" w:color="auto" w:sz="4" w:space="0"/>
            </w:tcBorders>
            <w:vAlign w:val="center"/>
          </w:tcPr>
        </w:tc>
      </w:tr>
      <w:tr w14:paraId="3109C6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3C1E34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2.6</w:t>
              <w:tab/>
            </w:r>
            <w:r>
              <w:rPr>
                <w:rFonts w:ascii="Arial" w:hAnsi="Arial" w:eastAsia="Arial" w:cs="Arial"/>
                <w:b/>
                <w:sz w:val="19"/>
                <w:szCs w:val="19"/>
              </w:rPr>
              <w:t xml:space="preserve">Other Hazards:</w:t>
            </w:r>
          </w:p>
        </w:tc>
        <w:tc>
          <w:tcPr>
            <w:tcW w:w="6276" w:type="dxa"/>
            <w:tcBorders>
              <w:top w:val="dotted" w:color="auto" w:sz="4" w:space="0"/>
              <w:left w:val="dotted" w:color="auto" w:sz="4" w:space="0"/>
              <w:bottom w:val="dotted" w:color="auto" w:sz="4" w:space="0"/>
            </w:tcBorders>
            <w:vAlign w:val="center"/>
          </w:tcPr>
          <w:p w14:paraId="3569688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u w:val="single"/>
              </w:rP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b/>
                <w:sz w:val="24"/>
                <w:u w:val="single"/>
              </w:rP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b/>
                <w:sz w:val="24"/>
                <w:u w:val="single"/>
              </w:rP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Hydroxy acrylic polymer</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Trade secret</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46±5</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45.5±5</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Propylene glycol butyl ether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5131-66-8</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7±3</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2-Dimethylaminoethanol</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108-01-0</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1.5±0.5</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Milky white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95℃</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1.06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log Pow (n-octanol/water partition coefficient):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Auto-ignition temperature: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50-4000 mPa.s</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46±2%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Hazardous decomposition products:</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tcPr>
          <w:p w14:paraId="22A157D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rFonts w:ascii="Arial" w:hAnsi="Arial" w:eastAsia="Arial" w:cs="Arial"/>
                <w:sz w:val="19"/>
                <w:szCs w:val="19"/>
              </w:rPr>
              <w:t xml:space="preserve">No toxicological studies were available for this product.</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sz w:val="19"/>
                <w:szCs w:val="19"/>
              </w:rPr>
              <w:t>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(Rat) LD50: &gt; 2000 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(Rat) LD50: &gt; 2000 mg/kg</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Specific target orga ntoxicity (single/repeate dexposure):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data available.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No ecotoxicological studies are available for this product.</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ecotoxicological studies are available for this product.</w:t>
              <w:br/>
              <w:t>Do not allow to enter drains, water courses or soil.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The product is not readily biodegradable.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PA-3223-MSDS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2026/10/26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PA-3223</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