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PU-202B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应用于皮革涂饰、纺织涂层、纸张印刷、塑料涂层等行业。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9795" w:type="dxa"/>
            <w:gridSpan w:val="2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2.1 GHS危险性类别：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生殖毒性物质，类别1B（H360）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2.2 GHS标签要素：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GHS象形图：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信号词：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危险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危险性说明：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H360可能对胎儿造成伤害。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防范说明：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预防措施：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P201 在使用前获取特别指示。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P202 在阅读并了解所有安全预防措施之前，切勿操作与处置。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P280 戴防护手套/穿防护服/戴防护眼罩/戴防护面具。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事故响应：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P308+P313 如接触到或有疑虑：求医/就诊。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安全储存：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P405 储存处须加锁。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废弃处置：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P501 处置内装物/容器按照当地规章。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其他危险：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可能存在透皮吸收N－甲基吡咯烷酮的危险。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26.0~29.0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59.0~63.0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11.0~12.0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二氧化碳（CO2），耐醇泡沫，化学干粉，大火时应用水喷洒。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燃烧时释放一氧化碳、二氧化碳、氮氧化物和痕量的氰化氢。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泛蓝光半透明乳液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9.4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9.5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9.6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9.7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9.8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9.9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9.10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9.14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9.15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9.16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9.17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9.18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9.19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9.20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28±2%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  <w:gridSpan w:val="4"/>
            <w:tcW w:w="9781" w:type="dxa"/>
          </w:tcPr>
          <w:p>
            <w:pPr>
              <w:spacing w:line="300" w:lineRule="auto"/>
              <w:ind w:left="34" w:leftChars="16" w:right="480"/>
              <w:jc w:val="left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sz w:val="24"/>
                <w:szCs w:val="24"/>
              </w:rPr>
              <w:t xml:space="preserve">以下是N－甲基吡咯烷酮毒理学数据：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半数致死剂量（LD50）/大鼠：4,150mg/kg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半数致死浓度（LC50）/1h/大鼠：＞5.1mg/l</w:t>
              <w:br/>
              <w:t>半数致死浓度（LC50）/4h/大鼠：＞5.1mg/l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半数致死剂量（LD50）/大鼠：＞5,000mg/kg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主要皮肤刺激性: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分类：刺激皮肤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结果：造成皮肤刺激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分类：刺激眼睛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结果：严重的眼睛刺激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物种：小鼠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结果：未引起实验室动物过敏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对细菌或哺乳动物细胞培养未见致突变影响。 动物试验中未见致突变性影响。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在动物试验中，发现仅在射入高剂量的此物质后才有损坏生育的风险。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在动物试验显现出致畸效应。可能对胎儿造成伤害。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可能造成呼吸道刺激。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N－甲基吡咯烷酮有经皮吸收危险。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以下是N－甲基吡咯烷酮生态毒理学数据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半数致死浓度（LC50）/96h/虹鳟：500mg/l</w:t>
              <w:br/>
              <w:t>其他：</w:t>
              <w:br/>
              <w:t>半数致死有效浓度（EC50）/72h/藻类：＞500mg/l</w:t>
              <w:br/>
              <w:t>半数致死有效浓度（EC50）/24h/大型溞：＞1,000mg/l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生物降解性：73 %，28 d，即易生物降解。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PU-202B-MSDS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修订日期：2026/10/30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PU-202B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3327679607_0.png"/><Relationship Id="rId31" Type="http://schemas.openxmlformats.org/officeDocument/2006/relationships/image" Target="media/image_ghs_1793327685516_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