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PU-202B</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plastic coatings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Reproductive toxicity (Category 1B), H360</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H360 May damage fertility or the unborn child.</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P308+P313 IF exposed or concerned: Get medical advice/attention.</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Risk of cutaneous absorption of N-Methyl-2-pyrrolidone (NMP).</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26.0~29.0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59.0~63.0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N-Methyl-2-pyrrolidone (NMP)</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872-50-4</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11.0~12.0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28±2%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tcPr>
          <w:p>
            <w:pPr>
              <w:spacing w:line="300" w:lineRule="auto"/>
              <w:ind w:left="34" w:leftChars="16" w:right="480"/>
              <w:jc w:val="left"/>
              <w:rPr>
                <w:sz w:val="19"/>
              </w:rPr>
            </w:pPr>
            <w:r>
              <w:rPr>
                <w:rFonts w:ascii="Arial" w:hAnsi="Arial" w:cs="Arial"/>
                <w:b w:val="0"/>
                <w:sz w:val="19"/>
                <w:szCs w:val="19"/>
              </w:rPr>
              <w:t xml:space="preserve">The following are toxicological data for N-Methyl-2-pyrrolidone (NMP):</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14:paraId="6EC890C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4,150mg/kg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14:paraId="79B94EED">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LC50 / Inhalation / 1h / Rat: &gt; 5.1mg/l</w:t>
              <w:br/>
              <w:t>LC50 / Inhalation / 4h / Rat: &gt; 5.1mg/l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14:paraId="146B658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LD50 / Oral / Rat: &gt; 5,000mg/kg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Causes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Causes serious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Mouse</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14:paraId="7541511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rFonts w:ascii="Arial" w:hAnsi="Arial" w:eastAsia="Arial" w:cs="Arial"/>
                <w:sz w:val="19"/>
                <w:szCs w:val="19"/>
              </w:rPr>
              <w:t>No mutagenic effects observed in bacterial or mammalian cell cultures. No mutagenic effects observed in animal studies.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14:paraId="093BEC9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bCs w:val="0"/>
                <w:lang w:val="en-US" w:eastAsia="zh-CN"/>
                <w:rFonts w:ascii="Arial" w:hAnsi="Arial" w:eastAsia="Arial" w:cs="Arial"/>
                <w:sz w:val="19"/>
                <w:szCs w:val="19"/>
              </w:rPr>
              <w:t>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1999" w:type="dxa"/>
            <w:gridSpan w:val="2"/>
            <w:tcBorders>
              <w:top w:val="dotted" w:color="auto" w:sz="4" w:space="0"/>
              <w:left w:val="dotted" w:color="auto" w:sz="4" w:space="0"/>
              <w:bottom w:val="dotted" w:color="auto" w:sz="4" w:space="0"/>
              <w:right w:val="dotted" w:color="auto" w:sz="4" w:space="0"/>
            </w:tcBorders>
            <w:vAlign w:val="center"/>
          </w:tcPr>
          <w:p w14:paraId="3863229A">
            <w:pPr>
              <w:keepNext w:val="0"/>
              <w:keepLines w:val="0"/>
              <w:pageBreakBefore w:val="0"/>
              <w:widowControl w:val="0"/>
              <w:kinsoku/>
              <w:wordWrap/>
              <w:overflowPunct/>
              <w:topLinePunct w:val="0"/>
              <w:autoSpaceDE/>
              <w:autoSpaceDN/>
              <w:bidi w:val="0"/>
              <w:adjustRightInd/>
              <w:snapToGrid/>
              <w:textAlignment w:val="auto"/>
              <w:rPr>
                <w:rFonts w:hint="eastAsia" w:hAnsi="Arial" w:eastAsia="宋体"/>
                <w:b/>
                <w:bCs/>
                <w:sz w:val="24"/>
                <w:lang w:val="en-US" w:eastAsia="zh-CN"/>
              </w:rPr>
              <w:jc w:val="left"/>
            </w:pPr>
            <w:r>
              <w:rPr>
                <w:rFonts w:ascii="Arial" w:hAnsi="Arial" w:eastAsia="Arial" w:cs="Arial"/>
                <w:b/>
                <w:sz w:val="19"/>
                <w:szCs w:val="19"/>
              </w:rPr>
              <w:t xml:space="preserve">Fertility:</w:t>
            </w:r>
          </w:p>
        </w:tc>
        <w:tc>
          <w:tcPr>
            <w:tcW w:w="4263" w:type="dxa"/>
            <w:tcBorders>
              <w:top w:val="dotted" w:color="auto" w:sz="4" w:space="0"/>
              <w:left w:val="dotted" w:color="auto" w:sz="4" w:space="0"/>
              <w:bottom w:val="dotted" w:color="auto" w:sz="4" w:space="0"/>
            </w:tcBorders>
            <w:vAlign w:val="center"/>
          </w:tcPr>
          <w:p w14:paraId="696E91D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experiments showed risks of impaired fertility only at high doses.</w:t>
            </w:r>
          </w:p>
        </w:tc>
      </w:tr>
      <w:tr w14:paraId="711777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237CBC02">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99" w:type="dxa"/>
            <w:gridSpan w:val="2"/>
            <w:tcBorders>
              <w:top w:val="dotted" w:color="auto" w:sz="4" w:space="0"/>
              <w:left w:val="dotted" w:color="auto" w:sz="4" w:space="0"/>
              <w:bottom w:val="dotted" w:color="auto" w:sz="4" w:space="0"/>
              <w:right w:val="dotted" w:color="auto" w:sz="4" w:space="0"/>
            </w:tcBorders>
            <w:vAlign w:val="center"/>
          </w:tcPr>
          <w:p w14:paraId="61059801">
            <w:pPr>
              <w:keepNext w:val="0"/>
              <w:keepLines w:val="0"/>
              <w:pageBreakBefore w:val="0"/>
              <w:widowControl w:val="0"/>
              <w:kinsoku/>
              <w:wordWrap/>
              <w:overflowPunct/>
              <w:topLinePunct w:val="0"/>
              <w:autoSpaceDE/>
              <w:autoSpaceDN/>
              <w:bidi w:val="0"/>
              <w:adjustRightInd/>
              <w:snapToGrid/>
              <w:ind w:left="960" w:hanging="964" w:hangingChars="400"/>
              <w:jc w:val="left"/>
              <w:textAlignment w:val="auto"/>
              <w:rPr>
                <w:rFonts w:hint="eastAsia" w:ascii="宋体" w:hAnsi="宋体" w:eastAsia="宋体" w:cs="宋体"/>
                <w:b/>
                <w:bCs/>
                <w:sz w:val="24"/>
                <w:szCs w:val="24"/>
                <w:lang w:eastAsia="zh-CN"/>
              </w:rPr>
            </w:pPr>
            <w:r>
              <w:rPr>
                <w:rFonts w:hint="eastAsia" w:hAnsi="Arial"/>
                <w:b/>
                <w:sz w:val="24"/>
              </w:rPr>
              <w:t>Teratogenicity</w:t>
            </w:r>
            <w:r>
              <w:rPr>
                <w:rFonts w:hint="eastAsia" w:hAnsi="Arial"/>
                <w:b/>
                <w:sz w:val="24"/>
                <w:lang w:eastAsia="zh-CN"/>
              </w:rPr>
              <w:t>:</w:t>
            </w:r>
          </w:p>
        </w:tc>
        <w:tc>
          <w:tcPr>
            <w:tcW w:w="4263" w:type="dxa"/>
            <w:tcBorders>
              <w:top w:val="dotted" w:color="auto" w:sz="4" w:space="0"/>
              <w:left w:val="dotted" w:color="auto" w:sz="4" w:space="0"/>
              <w:bottom w:val="dotted" w:color="auto" w:sz="4" w:space="0"/>
            </w:tcBorders>
            <w:vAlign w:val="center"/>
          </w:tcPr>
          <w:p w14:paraId="61696E4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sz w:val="24"/>
                <w:szCs w:val="24"/>
                <w:lang w:val="en-US" w:eastAsia="zh-CN"/>
              </w:rPr>
              <w:jc w:val="left"/>
            </w:pPr>
            <w:r>
              <w:rPr>
                <w:bCs w:val="0"/>
                <w:lang w:val="en-US" w:eastAsia="zh-CN"/>
                <w:rFonts w:ascii="Arial" w:hAnsi="Arial" w:eastAsia="Arial" w:cs="Arial"/>
                <w:sz w:val="19"/>
                <w:szCs w:val="19"/>
              </w:rPr>
              <w:t>Animal experiments showed teratogenic effects. May damage the unborn child.</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(single/repeated exposure):</w:t>
            </w:r>
          </w:p>
        </w:tc>
        <w:tc>
          <w:tcPr>
            <w:tcW w:w="6262" w:type="dxa"/>
            <w:gridSpan w:val="3"/>
            <w:tcBorders>
              <w:top w:val="dotted" w:color="auto" w:sz="4" w:space="0"/>
              <w:left w:val="dotted" w:color="auto" w:sz="4" w:space="0"/>
              <w:bottom w:val="dotted" w:color="auto" w:sz="4" w:space="0"/>
            </w:tcBorders>
            <w:vAlign w:val="center"/>
          </w:tcPr>
          <w:p w14:paraId="5D0C0A1B">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May cause respiratory irritation.</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14:paraId="59099FE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Risk of cutaneous absorption of N-Methyl-2-pyrrolidone (NMP).</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N-Methyl-2-pyrrolidone (NMP):</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Oncorhynchus mykiss (rainbow trout): 500mg/l</w:t>
              <w:br/>
              <w:t>Other:</w:t>
              <w:br/>
              <w:t>EC50 / 72 h / Algae: ＞500mg/l</w:t>
              <w:br/>
              <w:t>EC50 / 24 h / Daphnia magna: ＞1,000mg/l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Biodegradability: 73 %, 28 d, readily biodegradable.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PU-202B-MSDS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2026/10/30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PU-202B</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327693037_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