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PU-202B</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paper coating, leather finishing, textile coating, plastic coatings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Yingde Guocai New Material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Kaidi Industrial Park, Genggukeng, Taiping Village, Baisha Town, Yingde, Guangdong, China</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86-763-2811205</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86-763-2811024</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pPr>
            <w:r>
              <w:rPr>
                <w:rFonts w:ascii="Arial" w:hAnsi="Arial"/>
                <w:sz w:val="19"/>
                <w:b/>
              </w:rPr>
              <w:t xml:space="preserve">2.1 Classification of the substance or mixture:</w:t>
            </w:r>
          </w:p>
          <w:p>
            <w:pPr>
              <w:spacing w:line="300" w:lineRule="auto"/>
              <w:ind w:left="480"/>
            </w:pPr>
            <w:r>
              <w:rPr>
                <w:rFonts w:ascii="Arial" w:hAnsi="Arial"/>
                <w:sz w:val="19"/>
              </w:rPr>
              <w:t xml:space="preserve">Reproductive toxicity (Category 1B), H360</w:t>
            </w:r>
          </w:p>
          <w:p>
            <w:pPr>
              <w:spacing w:line="300" w:lineRule="auto"/>
            </w:pPr>
            <w:r>
              <w:rPr>
                <w:rFonts w:ascii="Arial" w:hAnsi="Arial"/>
                <w:sz w:val="19"/>
                <w:b/>
              </w:rPr>
              <w:t xml:space="preserve">2.2 GHS Label Elements:</w:t>
            </w:r>
          </w:p>
          <w:p>
            <w:pPr>
              <w:spacing w:line="300" w:lineRule="auto"/>
            </w:pPr>
            <w:r>
              <w:rPr>
                <w:rFonts w:ascii="Arial" w:hAnsi="Arial"/>
                <w:sz w:val="19"/>
                <w:b/>
              </w:rPr>
              <w:t xml:space="preserve">GHS pictograms:</w:t>
            </w:r>
          </w:p>
          <w:p>
            <w:pPr>
              <w:jc w:val="center"/>
            </w:pPr>
            <w: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p>
          <w:p>
            <w:pPr>
              <w:spacing w:line="300" w:lineRule="auto"/>
            </w:pPr>
            <w:r>
              <w:rPr>
                <w:rFonts w:ascii="Arial" w:hAnsi="Arial"/>
                <w:sz w:val="19"/>
                <w:b/>
              </w:rPr>
              <w:t xml:space="preserve">Signal word:</w:t>
            </w:r>
            <w:r>
              <w:rPr>
                <w:rFonts w:ascii="Arial" w:hAnsi="Arial"/>
                <w:sz w:val="19"/>
              </w:rPr>
              <w:t xml:space="preserve"> Danger</w:t>
            </w:r>
          </w:p>
          <w:p>
            <w:pPr>
              <w:spacing w:line="300" w:lineRule="auto"/>
            </w:pPr>
            <w:r>
              <w:rPr>
                <w:rFonts w:ascii="Arial" w:hAnsi="Arial"/>
                <w:sz w:val="19"/>
                <w:b/>
              </w:rPr>
              <w:t xml:space="preserve">Hazard statements:</w:t>
            </w:r>
          </w:p>
          <w:p>
            <w:pPr>
              <w:spacing w:line="300" w:lineRule="auto"/>
              <w:ind w:left="480"/>
            </w:pPr>
            <w:r>
              <w:rPr>
                <w:rFonts w:ascii="Arial" w:hAnsi="Arial"/>
                <w:sz w:val="19"/>
              </w:rPr>
              <w:t xml:space="preserve">H360 May damage fertility or the unborn child.</w:t>
            </w:r>
          </w:p>
          <w:p>
            <w:pPr>
              <w:spacing w:line="300" w:lineRule="auto"/>
            </w:pPr>
            <w:r>
              <w:rPr>
                <w:rFonts w:ascii="Arial" w:hAnsi="Arial"/>
                <w:sz w:val="19"/>
                <w:b/>
              </w:rPr>
              <w:t xml:space="preserve">Precautionary statements:</w:t>
            </w:r>
          </w:p>
          <w:p>
            <w:pPr>
              <w:spacing w:line="300" w:lineRule="auto"/>
              <w:ind w:left="480"/>
            </w:pPr>
            <w:r>
              <w:rPr>
                <w:rFonts w:ascii="Arial" w:hAnsi="Arial"/>
                <w:sz w:val="19"/>
                <w:b/>
              </w:rPr>
              <w:t xml:space="preserve">Prevention:</w:t>
            </w:r>
          </w:p>
          <w:p>
            <w:pPr>
              <w:spacing w:line="300" w:lineRule="auto"/>
              <w:ind w:left="960"/>
            </w:pPr>
            <w:r>
              <w:rPr>
                <w:rFonts w:ascii="Arial" w:hAnsi="Arial"/>
                <w:sz w:val="19"/>
              </w:rPr>
              <w:t xml:space="preserve">        P201 Obtain special instructions before use.</w:t>
            </w:r>
          </w:p>
          <w:p>
            <w:pPr>
              <w:spacing w:line="300" w:lineRule="auto"/>
              <w:ind w:left="960"/>
            </w:pPr>
            <w:r>
              <w:rPr>
                <w:rFonts w:ascii="Arial" w:hAnsi="Arial"/>
                <w:sz w:val="19"/>
              </w:rPr>
              <w:t xml:space="preserve">        P202 Do not handle until all safety precautions have been read and understood.</w:t>
            </w:r>
          </w:p>
          <w:p>
            <w:pPr>
              <w:spacing w:line="300" w:lineRule="auto"/>
              <w:ind w:left="960"/>
            </w:pPr>
            <w:r>
              <w:rPr>
                <w:rFonts w:ascii="Arial" w:hAnsi="Arial"/>
                <w:sz w:val="19"/>
              </w:rPr>
              <w:t xml:space="preserve">        P280 Wear protective gloves/clothing/eye protection/face protection.</w:t>
            </w:r>
          </w:p>
          <w:p>
            <w:pPr>
              <w:spacing w:line="300" w:lineRule="auto"/>
              <w:ind w:left="480"/>
            </w:pPr>
            <w:r>
              <w:rPr>
                <w:rFonts w:ascii="Arial" w:hAnsi="Arial"/>
                <w:sz w:val="19"/>
                <w:b/>
              </w:rPr>
              <w:t xml:space="preserve">Response:</w:t>
            </w:r>
          </w:p>
          <w:p>
            <w:pPr>
              <w:spacing w:line="300" w:lineRule="auto"/>
              <w:ind w:left="960"/>
            </w:pPr>
            <w:r>
              <w:rPr>
                <w:rFonts w:ascii="Arial" w:hAnsi="Arial"/>
                <w:sz w:val="19"/>
              </w:rPr>
              <w:t xml:space="preserve">        P308+P313 IF exposed or concerned: Get medical advice/attention.</w:t>
            </w:r>
          </w:p>
          <w:p>
            <w:pPr>
              <w:spacing w:line="300" w:lineRule="auto"/>
              <w:ind w:left="480"/>
            </w:pPr>
            <w:r>
              <w:rPr>
                <w:rFonts w:ascii="Arial" w:hAnsi="Arial"/>
                <w:sz w:val="19"/>
                <w:b/>
              </w:rPr>
              <w:t xml:space="preserve">Storage:</w:t>
            </w:r>
          </w:p>
          <w:p>
            <w:pPr>
              <w:spacing w:line="300" w:lineRule="auto"/>
              <w:ind w:left="960"/>
            </w:pPr>
            <w:r>
              <w:rPr>
                <w:rFonts w:ascii="Arial" w:hAnsi="Arial"/>
                <w:sz w:val="19"/>
              </w:rPr>
              <w:t xml:space="preserve">        P405 Store locked up.</w:t>
            </w:r>
          </w:p>
          <w:p>
            <w:pPr>
              <w:spacing w:line="300" w:lineRule="auto"/>
              <w:ind w:left="480"/>
            </w:pPr>
            <w:r>
              <w:rPr>
                <w:rFonts w:ascii="Arial" w:hAnsi="Arial"/>
                <w:sz w:val="19"/>
                <w:b/>
              </w:rPr>
              <w:t xml:space="preserve">Disposal:</w:t>
            </w:r>
          </w:p>
          <w:p>
            <w:pPr>
              <w:spacing w:line="300" w:lineRule="auto"/>
              <w:ind w:left="960"/>
            </w:pPr>
            <w:r>
              <w:rPr>
                <w:rFonts w:ascii="Arial" w:hAnsi="Arial"/>
                <w:sz w:val="19"/>
              </w:rPr>
              <w:t xml:space="preserve">        P501 Dispose of contents/container in accordance with local regulations.</w:t>
            </w:r>
          </w:p>
          <w:p>
            <w:pPr>
              <w:spacing w:line="300" w:lineRule="auto"/>
            </w:pPr>
            <w:r>
              <w:rPr>
                <w:rFonts w:ascii="Arial" w:hAnsi="Arial"/>
                <w:sz w:val="19"/>
                <w:b/>
              </w:rPr>
              <w:t xml:space="preserve">Other Hazards:</w:t>
            </w:r>
            <w:r>
              <w:rPr>
                <w:rFonts w:ascii="Arial" w:hAnsi="Arial"/>
                <w:sz w:val="19"/>
              </w:rPr>
              <w:t xml:space="preserve"> 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textAlignment w:val="auto"/>
              <w:rPr>
                <w:b/>
                <w:sz w:val="24"/>
                <w:u w:val="single"/>
              </w:rPr>
              <w:jc w:val="cente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26.0~29.0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59.0~63.0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11.0~12.0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28±2%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gridSpan w:val="4"/>
            <w:tcW w:w="9781" w:type="dxa"/>
          </w:tcPr>
          <w:p>
            <w:pPr>
              <w:spacing w:line="300" w:lineRule="auto"/>
              <w:jc w:val="left"/>
              <w:rPr>
                <w:sz w:val="19"/>
              </w:rPr>
            </w:pPr>
            <w:r>
              <w:rPr>
                <w:rFonts w:ascii="Arial" w:hAnsi="Arial" w:cs="Arial"/>
                <w:b w:val="0"/>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gridSpan w:val="4"/>
            <w:tcW w:w="9781" w:type="dxa"/>
          </w:tcPr>
          <w:p>
            <w:pPr>
              <w:spacing w:line="300" w:lineRule="auto"/>
              <w:ind w:left="34" w:leftChars="16" w:right="480"/>
              <w:jc w:val="left"/>
              <w:rPr>
                <w:sz w:val="19"/>
              </w:rPr>
            </w:pPr>
            <w:r>
              <w:rPr>
                <w:rFonts w:ascii="Arial" w:hAnsi="Arial" w:cs="Arial"/>
                <w:b w:val="0"/>
                <w:sz w:val="19"/>
                <w:szCs w:val="19"/>
              </w:rPr>
              <w:t xml:space="preserve">The following are toxicological data for N-Methyl-2-pyrrolidone (NMP):</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&gt; 5.1mg/l</w:t>
              <w:br/>
              <w:t>LC50 / Inhalation / 4h / Rat: &gt;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&gt;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skin</w:t>
            </w:r>
          </w:p>
          <w:p>
            <w:pPr>
              <w:spacing w:line="300" w:lineRule="auto"/>
              <w:rPr>
                <w:sz w:val="24"/>
              </w:rPr>
              <w:jc w:val="left"/>
            </w:pPr>
            <w:r>
              <w:rPr>
                <w:rFonts w:ascii="Arial" w:hAnsi="Arial" w:eastAsia="Arial" w:cs="Arial"/>
                <w:sz w:val="19"/>
                <w:szCs w:val="19"/>
              </w:rPr>
              <w:t xml:space="preserve">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eyes</w:t>
            </w:r>
          </w:p>
          <w:p>
            <w:pPr>
              <w:spacing w:line="300" w:lineRule="auto"/>
              <w:rPr>
                <w:sz w:val="24"/>
              </w:rPr>
              <w:jc w:val="left"/>
            </w:pPr>
            <w:r>
              <w:rPr>
                <w:rFonts w:ascii="Arial" w:hAnsi="Arial" w:eastAsia="Arial" w:cs="Arial"/>
                <w:sz w:val="19"/>
                <w:szCs w:val="19"/>
              </w:rPr>
              <w:t xml:space="preserve">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Mouse</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Did not cause sensitization in laboratory animals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textAlignment w:val="auto"/>
              <w:rPr>
                <w:rFonts w:hint="eastAsia" w:hAnsi="Arial" w:eastAsia="宋体"/>
                <w:b/>
                <w:bCs/>
                <w:sz w:val="24"/>
                <w:lang w:val="en-US" w:eastAsia="zh-CN"/>
              </w:rPr>
              <w:jc w:val="left"/>
            </w:pPr>
            <w:r>
              <w:rPr>
                <w:rFonts w:ascii="Arial" w:hAnsi="Arial" w:eastAsia="Arial" w:cs="Arial"/>
                <w:b/>
                <w:sz w:val="19"/>
                <w:szCs w:val="19"/>
              </w:rPr>
              <w:t xml:space="preserve">Fertility:</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experiments showed risks of impaired fertility only at high doses.</w:t>
            </w:r>
          </w:p>
        </w:tc>
      </w:tr>
      <w:tr w14:paraId="711777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237CBC02">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61059801">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ascii="宋体" w:hAnsi="宋体" w:eastAsia="宋体" w:cs="宋体"/>
                <w:b/>
                <w:bCs/>
                <w:sz w:val="24"/>
                <w:szCs w:val="24"/>
                <w:lang w:eastAsia="zh-CN"/>
              </w:rPr>
            </w:pPr>
            <w:r>
              <w:rPr>
                <w:rFonts w:hint="eastAsia" w:hAnsi="Arial"/>
                <w:b/>
                <w:sz w:val="24"/>
              </w:rPr>
              <w:t>Teratogenicity</w:t>
            </w:r>
            <w:r>
              <w:rPr>
                <w:rFonts w:hint="eastAsia" w:hAnsi="Arial"/>
                <w:b/>
                <w:sz w:val="24"/>
                <w:lang w:eastAsia="zh-CN"/>
              </w:rPr>
              <w:t>:</w:t>
            </w:r>
          </w:p>
        </w:tc>
        <w:tc>
          <w:tcPr>
            <w:tcW w:w="4263" w:type="dxa"/>
            <w:tcBorders>
              <w:top w:val="dotted" w:color="auto" w:sz="4" w:space="0"/>
              <w:left w:val="dotted" w:color="auto" w:sz="4" w:space="0"/>
              <w:bottom w:val="dotted" w:color="auto" w:sz="4" w:space="0"/>
            </w:tcBorders>
            <w:vAlign w:val="center"/>
          </w:tcPr>
          <w:p w14:paraId="61696E4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Animal experiments showed teratogenic effects. May damage the unborn child.</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May cause respiratory irritation.</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pPr>
              <w:spacing w:line="300" w:lineRule="auto"/>
              <w:rPr>
                <w:sz w:val="24"/>
              </w:rPr>
              <w:jc w:val="left"/>
            </w:pPr>
            <w:r>
              <w:rPr>
                <w:rFonts w:ascii="Arial" w:hAnsi="Arial" w:eastAsia="Arial" w:cs="Arial"/>
                <w:sz w:val="19"/>
                <w:szCs w:val="19"/>
              </w:rPr>
              <w:t xml:space="preserve">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jc w:val="left"/>
          </w:pPr>
          <w:r>
            <w:rPr>
              <w:rFonts w:hint="eastAsia"/>
              <w:kern w:val="0"/>
              <w:sz w:val="21"/>
              <w:szCs w:val="21"/>
            </w:rPr>
            <w:t>Yingde Guocai New Material Co., Ltd. PU-202B-MSDS</w:t>
          </w:r>
        </w:p>
      </w:tc>
      <w:tc>
        <w:tcPr>
          <w:tcW w:w="4984" w:type="dxa"/>
        </w:tcPr>
        <w:p w14:paraId="32B3FF4C">
          <w:pPr>
            <w:ind w:firstLine="8730" w:firstLineChars="4850"/>
            <w:jc w:val="right"/>
            <w:rPr>
              <w:kern w:val="0"/>
              <w:sz w:val="20"/>
            </w:rPr>
            <w:jc w:val="right"/>
            <w:jc w:val="right"/>
          </w:pPr>
          <w:r>
            <w:rPr>
              <w:rFonts w:ascii="Arial" w:eastAsia="楷体_GB2312"/>
              <w:color w:val="7F7F7F"/>
              <w:kern w:val="0"/>
              <w:sz w:val="18"/>
              <w:szCs w:val="18"/>
            </w:rPr>
            <w:t>Revision Date: 2026/10/30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PU-202B</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3327693037_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