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 PU-2341E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油墨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根据GHS不属于危害化学品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根据GHS不属于危害化学品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30-40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60-70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三乙胺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121-44-8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0.5-2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戴防护设备。远离火源。</w:t>
              <w:br/>
              <w:t>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  <w:br/>
              <w:t>远离食物、饮料和烟草。休息以前和工作结束时洗手。将工作服单独存放。</w:t>
              <w:br/>
              <w:t>更换被污染或浸湿的衣物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乳白至半透明液体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9.3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 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6-9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初沸点以下无闪点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约1.05g/cm3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＜1000 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36±2%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半数致死剂量(LD50) 大鼠: &gt; 2,000 mg/kg</w:t>
              <w:br/>
              <w:t>方法：OECD化学品测试指南423</w:t>
              <w:br/>
              <w:t>对类似产品的毒理学研究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试验环境：粉尘/烟雾</w:t>
              <w:br/>
              <w:t>评估：此物质或混合物无急性呼吸毒性</w:t>
              <w:br/>
              <w:t>方法：OECD化学品测试指南403</w:t>
              <w:br/>
              <w:t>对类似产品的研究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评估：此物质或混合物无急性皮肤毒性</w:t>
              <w:br/>
              <w:t>对类似产品的研究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11.2 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亚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急性，亚慢性和延迟毒性：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无数据资料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原发性皮肤刺激：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物种：家兔</w:t>
              <w:br/>
              <w:t>结果：轻微刺激</w:t>
              <w:br/>
              <w:t>分类：无皮肤刺激</w:t>
              <w:br/>
              <w:t>方法：OECD化学品测试指南404</w:t>
              <w:br/>
              <w:t>对类似产品的研究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原发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性粘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膜刺激：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物种：家兔</w:t>
              <w:br/>
              <w:t>结果：轻微刺激</w:t>
              <w:br/>
              <w:t>分类：无眼睛刺激</w:t>
              <w:br/>
              <w:t>方法：OECD化学品测试指南405</w:t>
              <w:br/>
              <w:t>对类似产品研究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致敏性</w:t>
              <w:br/>
              <w:t>聚氨酯分散体</w:t>
              <w:br/>
              <w:t>根据Buehler（经皮试验）皮肤致敏性：</w:t>
              <w:br/>
              <w:t>物种：豚鼠</w:t>
              <w:br/>
              <w:t>结果：阴性</w:t>
              <w:br/>
              <w:t>分类：不引起皮肤过敏</w:t>
              <w:br/>
              <w:t>方法：OECD化学品测试指南406</w:t>
              <w:br/>
              <w:t>对类似产品研究</w:t>
              <w:br/>
              <w:t>皮肤致敏性（局部淋巴结试验（LLNA））</w:t>
              <w:br/>
              <w:t>物种：小鼠</w:t>
              <w:br/>
              <w:t>结果：阴性</w:t>
              <w:br/>
              <w:t>分类：不引起皮肤过敏</w:t>
              <w:br/>
              <w:t>方法：OECD化学品测试指南429</w:t>
              <w:br/>
              <w:t>对类似产品研究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测试种类：体外染色体畸变试验</w:t>
              <w:br/>
              <w:t>代谢活化：有/无</w:t>
              <w:br/>
              <w:t>结果：阴性</w:t>
              <w:br/>
              <w:t>方法：OECD化学品测试指南473</w:t>
              <w:br/>
              <w:t>对类似产品研究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致癌性</w:t>
              <w:br/>
              <w:t>聚氨酯分散体</w:t>
              <w:br/>
              <w:t>无数据资料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聚氨酯分散体</w:t>
              <w:br/>
              <w:t>无数据资料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聚氨酯分散体</w:t>
              <w:br/>
              <w:t>无数据资料</w:t>
            </w: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体外遗传毒性</w:t>
              <w:br/>
              <w:t>聚氨酯分散体</w:t>
              <w:br/>
              <w:t>测试种类：沙门氏菌/微粒体试验（Ames试验）</w:t>
              <w:br/>
              <w:t>代谢活化：有/无</w:t>
              <w:br/>
              <w:t>结果：阴性</w:t>
              <w:br/>
              <w:t>方法：OECD化学品测试指南471</w:t>
              <w:br/>
              <w:t>对类似产品研究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STOT评估-一次性接触</w:t>
              <w:br/>
              <w:t>聚氨酯分散体</w:t>
              <w:br/>
              <w:t>基于现有数据，未满足分类标准。</w:t>
              <w:br/>
              <w:t>STOT评估-重复性接触</w:t>
              <w:br/>
              <w:t>聚氨酯分散体</w:t>
              <w:br/>
              <w:t>无数据资料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无数据资料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CMR评估</w:t>
              <w:br/>
              <w:t>聚氨酯分散体</w:t>
              <w:br/>
              <w:t>致癌性：无数据资料。</w:t>
              <w:br/>
              <w:t>致突变性：基于现有数据，未满足分类标准。</w:t>
              <w:br/>
              <w:t>致畸性：无数据资料。</w:t>
              <w:br/>
              <w:t>生殖毒性/生育力：无数据资料。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该产品无可用的生态毒理学研究。禁止排入下水道，废水或土壤中。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生物降解性：＜60%，28d，该产品不易生物降解。</w:t>
              <w:br/>
              <w:t>方法：OECD化学品测试指南301D</w:t>
              <w:br/>
              <w:t>对类似产品的研究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</w:t>
            </w:r>
          </w:p>
        </w:tc>
      </w:tr>
      <w:tr>
        <w:trPr/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>
            <w:r>
              <w:t xml:space="preserve"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PU-2341E-MSDS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修订日期：2026/1/10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PU-2341E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