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PU-202C</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textile coating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before="240"/>
            </w:pPr>
            <w:r>
              <w:rPr>
                <w:rFonts w:ascii="Arial" w:hAnsi="Arial"/>
                <w:sz w:val="19"/>
                <w:b/>
              </w:rPr>
              <w:t xml:space="preserve">2.2 GHS Label Elements:</w:t>
            </w:r>
          </w:p>
          <w:p>
            <w:pPr>
              <w:spacing w:line="300" w:lineRule="auto"/>
            </w:pPr>
            <w:r>
              <w:rPr>
                <w:rFonts w:ascii="Arial" w:hAnsi="Arial"/>
                <w:sz w:val="19"/>
                <w:b/>
              </w:rPr>
              <w:t xml:space="preserve">GHS pictograms:</w:t>
            </w:r>
          </w:p>
          <w:p>
            <w:pPr>
              <w:jc w:val="left"/>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before="240"/>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before="240"/>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before="240"/>
            </w:pPr>
            <w:r>
              <w:rPr>
                <w:rFonts w:ascii="Arial" w:hAnsi="Arial"/>
                <w:sz w:val="19"/>
                <w:b/>
              </w:rPr>
              <w:t xml:space="preserve">2.3 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w:t>
              <w:br/>
              <w:t>(applicable only where respirable aerosols are formed)</w:t>
              <w:br/>
              <w:t>LC50 / Inhalation / 4h / Rat: 2.2mg/l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Dermal / Guinea pig: ＜940mg/kg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 xml:space="preserve">Animal testing showed no reproductive toxicity. </w:t>
              <w:br/>
              <w:t>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PU-202C-MSDS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PU-202C</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41443653_0.png"/><Relationship Id="rId32" Type="http://schemas.openxmlformats.org/officeDocument/2006/relationships/image" Target="media/image_ghs_1793341443653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