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水性环氧乳液 EP-1702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环氧水分散体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7D4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95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3286679D">
            <w:r>
              <w:rPr>
                <w:rFonts w:eastAsia="宋体"/>
                <w:b w:val="0"/>
                <w:bCs w:val="0"/>
                <w:sz w:val="24"/>
                <w:szCs w:val="24"/>
              </w:rPr>
              <w:t>物质或混合物分类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1  </w:t>
            </w:r>
            <w:bookmarkStart w:id="0" w:name="_GoBack"/>
            <w:bookmarkEnd w:id="0"/>
            <w:r>
              <w:rPr>
                <w:rFonts w:hint="eastAsia" w:hAnsi="Arial" w:cs="Arial"/>
                <w:b/>
                <w:bCs/>
                <w:kern w:val="0"/>
                <w:sz w:val="24"/>
              </w:rPr>
              <w:t>物质或混合物分类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GHS危险性类别: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对水环境有慢性危害, 类别 3 (H412)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GHS-象形图</w:t>
            </w:r>
            <w:r>
              <w:rPr>
                <w:rFonts w:hint="eastAsia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丙二醇甲醚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危害性说明：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H412 对水生生物有害并具有长期持续影响。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预防措施：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P273 禁止排入环境。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废弃处置：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P501 将本品或其容器送至有资质的废物处理厂处置。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b/>
                <w:sz w:val="24"/>
                <w:u w:val="single"/>
              </w:rPr>
              <w:t>CAS</w:t>
            </w:r>
            <w:r>
              <w:rPr>
                <w:rFonts w:hint="eastAsia"/>
                <w:b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  <w:lang w:val="en-US" w:eastAsia="zh-CN"/>
              </w:rPr>
              <w:t>含量</w:t>
            </w:r>
            <w:r>
              <w:rPr>
                <w:b/>
                <w:sz w:val="24"/>
                <w:u w:val="single"/>
              </w:rPr>
              <w:t>%</w:t>
            </w:r>
            <w:r>
              <w:rPr>
                <w:rFonts w:hint="eastAsia" w:hAnsi="Arial"/>
                <w:b/>
                <w:sz w:val="24"/>
                <w:u w:val="single"/>
              </w:rPr>
              <w:t>（</w:t>
            </w:r>
            <w:r>
              <w:rPr>
                <w:b/>
                <w:sz w:val="24"/>
                <w:u w:val="single"/>
              </w:rPr>
              <w:t>w/w</w:t>
            </w:r>
            <w:r>
              <w:rPr>
                <w:rFonts w:hint="eastAsia" w:hAnsi="Arial"/>
                <w:b/>
                <w:sz w:val="24"/>
                <w:u w:val="single"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改性环氧聚合物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45-55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35-45</w:t>
            </w:r>
          </w:p>
        </w:tc>
      </w:tr>
      <w:tr w14:paraId="0FD81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FE280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cs="Times New Roman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丙二醇甲醚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F604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107-98-2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79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2-8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</w:t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确保充分的通风/排气。令未授权人员离开。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远离食物、饮料和烟草。休息以前和工作结束时洗手。将工作服单独存放。</w:t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更换被污染或浸湿的衣物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2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eastAsia="宋体" w:cs="Arial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>9.3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 xml:space="preserve">  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初沸点以下无闪点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 w:eastAsia="宋体"/>
                <w:b/>
                <w:bCs/>
                <w:sz w:val="24"/>
                <w:szCs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200-5000mPa.s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53±2%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该产品无可用的毒理学研究。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根据生态毒理学资料，该产品被划分为对鱼类和水蚤无害类。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必需遵守适用的国标、国家或当地法规进行废弃。</w:t>
            </w:r>
          </w:p>
        </w:tc>
      </w:tr>
      <w:tr w14:paraId="38F87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</w:tcPr>
          <w:p w14:paraId="1BB3128B">
            <w:r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可根据化学工业现存的回收方案送往适当的收集点处理。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容器应按照国家法令和环境相关法规进行回收。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温度不可高于+40℃，温度不可低于+5℃。</w:t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br w:type="textWrapping"/>
            </w: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eastAsia="宋体" w:cs="Arial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eastAsia="宋体" w:cs="Arial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EP-1702-MSDS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修订日期：2026/10/10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EP-1702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222B87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5A463E2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1952</Words>
  <Characters>2319</Characters>
  <Lines>18</Lines>
  <Paragraphs>5</Paragraphs>
  <TotalTime>0</TotalTime>
  <ScaleCrop>false</ScaleCrop>
  <LinksUpToDate>false</LinksUpToDate>
  <CharactersWithSpaces>2465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2026-10-16T03:23:41Z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