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水性环氧乳液 EP-1740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环氧水分散体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>
        <w:trPr/>
        <w:tc>
          <w:tcPr>
            <w:tcW w:w="9795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rPr>
                <w:rFonts w:eastAsia="宋体"/>
                <w:b w:val="0"/>
                <w:bCs w:val="0"/>
                <w:sz w:val="24"/>
                <w:szCs w:val="24"/>
              </w:rPr>
              <w:t>物质或混合物分类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GHS危险性类别:</w:t>
              <w:br/>
              <w:t>对水环境有慢性危害, 类别 3 (H412)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GHS-象形图 丙二醇甲醚</w:t>
              <w:br/>
              <w:t>危害性说明:</w:t>
              <w:br/>
              <w:t>H412 对水生生物有害并具有长期持续影响。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  <w:br/>
              <w:t>P273 禁止排入环境。</w:t>
              <w:br/>
              <w:t>废弃处置：</w:t>
              <w:br/>
              <w:t>P501 将本品或其容器送至有资质的废物处理厂处置。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改性环氧聚合物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45-55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23-35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丙二醇甲醚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107-98-2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17-25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9.3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200-5000mPa.s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52±2%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该产品无可用的毒理学研究。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根据生态毒理学资料，该产品被划分为对鱼类和水蚤无害类。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>
        <w:trPr/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>
            <w:r>
              <w:t xml:space="preserve"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温度不可高于+40℃，温度不可低于+5℃。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EP-1740-MSDS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修订日期：2026/10/10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EP-1740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