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阳离子聚氨酯分散体 PU-2702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涂料、油墨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</w:rPr>
              <w:t>英德市国彩精细化工有限公司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广东省英德市白沙镇太平村更古坑凯迪工业园区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86-763-2811205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86-763-2811024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5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799D8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tcBorders>
              <w:top w:val="dotted" w:color="auto" w:sz="4" w:space="0"/>
              <w:bottom w:val="dotted" w:color="auto" w:sz="4" w:space="0"/>
            </w:tcBorders>
          </w:tcPr>
          <w:p w14:paraId="2DD75760">
            <w:r>
              <w:rPr>
                <w:rFonts w:eastAsia="宋体"/>
                <w:b w:val="0"/>
                <w:bCs w:val="0"/>
                <w:sz w:val="24"/>
                <w:szCs w:val="24"/>
              </w:rPr>
              <w:t>物质或混合物分类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t>2.1 物质或混合物的分类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t>GHS危险性类别: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t>根据GHS不属于危害化学品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t>2.2 标签要素</w:t>
            </w:r>
            <w:bookmarkStart w:id="0" w:name="_GoBack"/>
            <w:bookmarkEnd w:id="0"/>
            <w:r>
              <w:rPr>
                <w:rFonts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t xml:space="preserve">GHS-象形图 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t>根据GHS不属于危害化学品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t>2.3 其他危险 无适用资料。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b/>
                <w:sz w:val="24"/>
                <w:u w:val="single"/>
              </w:rPr>
              <w:t>CAS</w:t>
            </w:r>
            <w:r>
              <w:rPr>
                <w:rFonts w:hint="eastAsia"/>
                <w:b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  <w:lang w:val="en-US" w:eastAsia="zh-CN"/>
              </w:rPr>
              <w:t>含量</w:t>
            </w:r>
            <w:r>
              <w:rPr>
                <w:b/>
                <w:sz w:val="24"/>
                <w:u w:val="single"/>
              </w:rPr>
              <w:t>%</w:t>
            </w:r>
            <w:r>
              <w:rPr>
                <w:rFonts w:hint="eastAsia" w:hAnsi="Arial"/>
                <w:b/>
                <w:sz w:val="24"/>
                <w:u w:val="single"/>
              </w:rPr>
              <w:t>（</w:t>
            </w:r>
            <w:r>
              <w:rPr>
                <w:b/>
                <w:sz w:val="24"/>
                <w:u w:val="single"/>
              </w:rPr>
              <w:t>w/w</w:t>
            </w:r>
            <w:r>
              <w:rPr>
                <w:rFonts w:hint="eastAsia" w:hAnsi="Arial"/>
                <w:b/>
                <w:sz w:val="24"/>
                <w:u w:val="single"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脂肪族聚氨酯聚合物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33±5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丙酮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67-64-1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0.5±0.5</w:t>
            </w:r>
          </w:p>
        </w:tc>
      </w:tr>
      <w:tr w14:paraId="244ED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4A37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醋酸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819F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64-19-7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75A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1.5±0.5</w:t>
            </w:r>
          </w:p>
        </w:tc>
      </w:tr>
      <w:tr w14:paraId="3E50E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04C7D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486AC7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0255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65±5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禁止催吐，须就医。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撑开眼睑，用温水长时间冲洗（至少10分钟），就诊眼科医生。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若刺激呼吸道，就医。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二氧化碳（CO2），泡沫，灭火粉末，大火时应用喷洒水。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燃烧时释放一氧化碳、二氧化碳、氮氧化物和少量的氰化氢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在着火或爆炸情况下，不要吸进烟尘。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戴防护设备。远离火源。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确保充分的通风/排气。令未授权人员离开。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操作时遵守化学品的常见预防措施。避免与皮肤和眼睛接触。</w:t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远离食物、饮料和烟草。休息以前和工作结束时洗手。将工作服单独存放。</w:t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更换被污染或浸湿的衣物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容器保持紧闭，存储在干燥通风处。为保持产品质量，必须遵守我们产品信息表的储存条件。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eastAsia="宋体" w:cs="Arial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工程控制：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9552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根据EC指令2006/121/EG,无可用的接触限值信息。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半透明液体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嗅觉阈值：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9.3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 xml:space="preserve">  pH值：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4-6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阳离子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初沸点以下无闪点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蒸发速率：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约1.06g/cm3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可混溶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表面张力：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9.16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 xml:space="preserve">9.17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＜1000 mPa.s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9.18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33±2%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在热分解过程中生成易燃有害气体。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半数致死剂量(LD50) 大鼠: &gt; 2,000 mg/kg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方法：OECD化学品测试指南423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对类似产品的毒理学研究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试验环境：粉尘/烟雾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评估：此物质或混合物无急性呼吸毒性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方法：OECD化学品测试指南403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对类似产品的研究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评估：此物质或混合物无急性皮肤毒性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对类似产品的研究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 xml:space="preserve">11.2 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亚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</w:rPr>
              <w:t>急性，亚慢性和延迟毒性：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</w:t>
            </w:r>
          </w:p>
        </w:tc>
      </w:tr>
      <w:tr w14:paraId="51407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0B0FCD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</w:rPr>
              <w:t>原发性皮肤刺激：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B3E65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物种：家兔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结果：轻微刺激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分类：无皮肤刺激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方法：OECD化学品测试指南404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对类似产品的研究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</w:rPr>
              <w:t>原发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>性粘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</w:rPr>
              <w:t>膜刺激：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物种：家兔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结果：轻微刺激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分类：无眼睛刺激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方法：OECD化学品测试指南405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对类似产品研究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致敏性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根据Buehler（经皮试验）皮肤致敏性：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物种：豚鼠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结果：阴性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分类：不引起皮肤过敏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方法：OECD化学品测试指南406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对类似产品研究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皮肤致敏性（局部淋巴结试验（LLNA））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物种：小鼠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结果：阴性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分类：不引起皮肤过敏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方法：OECD化学品测试指南429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对类似产品研究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 xml:space="preserve">11.6 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体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</w:rPr>
              <w:t>外遗传毒性：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聚氨酯分散体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测试种类：沙门氏菌/微粒体试验（Ames试验）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代谢活化：有/无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结果：阴性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方法：OECD化学品测试指南471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对类似产品研究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测试种类：体外染色体畸变试验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代谢活化：有/无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结果：阴性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方法：OECD化学品测试指南473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对类似产品研究</w:t>
            </w:r>
          </w:p>
        </w:tc>
      </w:tr>
      <w:tr w14:paraId="49B9F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7E2E58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 xml:space="preserve">11.7 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体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</w:rPr>
              <w:t>内基因毒性：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C156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聚氨酯分散体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致癌性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>生殖毒性：</w:t>
            </w: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63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default" w:hAnsi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生育力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聚氨酯分散体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t>无数据资料</w:t>
            </w: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致畸形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聚氨酯分散体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t>无数据资料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0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 xml:space="preserve"> 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STOT评估-一次性接触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聚氨酯分散体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基于现有数据，未满足分类标准。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STOT评估-重复性接触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聚氨酯分散体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1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 xml:space="preserve"> 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</w:t>
            </w:r>
          </w:p>
        </w:tc>
      </w:tr>
      <w:tr w14:paraId="6B894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8A35CE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2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 xml:space="preserve"> 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2DE82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致癌性：无数据资料。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致突变性：基于现有数据，未满足分类标准。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致畸性：无数据资料。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生殖毒性/生育力：无数据资料。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该产品无可用的生态毒理学研究。禁止排入下水道，废水或土壤中。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生物降解性：＜60%，28d，该产品不易生物降解。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方法：OECD化学品测试指南301D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对类似产品的研究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必需遵守适用的国标、国家或当地法规进行废弃。</w:t>
            </w:r>
          </w:p>
        </w:tc>
      </w:tr>
      <w:tr w14:paraId="6D2B2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</w:tcPr>
          <w:p w14:paraId="78770061">
            <w:r>
              <w:t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可根据化学工业现存的回收方案送往适当的收集点处理。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容器应按照国家法令和环境相关法规进行回收。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非危险品陆运输方式，符合ADG准则。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非危险品海运方式，符合IMDG准则。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非危险品运输方式，符合IATA准则。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</w:rPr>
              <w:t>危险化学品安全管理条例，国务院令344号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eastAsia="宋体" w:cs="Arial"/>
                <w:b w:val="0"/>
                <w:bCs w:val="0"/>
                <w:kern w:val="0"/>
                <w:sz w:val="24"/>
                <w:szCs w:val="24"/>
              </w:rPr>
              <w:t>GB/T 16483-2008 化学品安全技术说明书内容和项目顺序</w:t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eastAsia="宋体" w:cs="Arial"/>
                <w:b w:val="0"/>
                <w:bCs w:val="0"/>
                <w:kern w:val="0"/>
                <w:sz w:val="24"/>
                <w:szCs w:val="24"/>
              </w:rPr>
              <w:t>GB 13690-2009 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eastAsia="宋体" w:cs="Arial"/>
                <w:b w:val="0"/>
                <w:bCs w:val="0"/>
                <w:kern w:val="0"/>
                <w:sz w:val="24"/>
                <w:szCs w:val="24"/>
              </w:rPr>
              <w:t>GB 20576- GB20598 化学品分类，警示标签和警示性说明安全规范</w:t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英德市国彩新材料有限公司 PU-2702-MSDS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修订日期：2026/10/15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PU-2702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18956D9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2648</Words>
  <Characters>3115</Characters>
  <Lines>18</Lines>
  <Paragraphs>5</Paragraphs>
  <TotalTime>7</TotalTime>
  <ScaleCrop>false</ScaleCrop>
  <LinksUpToDate>false</LinksUpToDate>
  <CharactersWithSpaces>3280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2026-10-15T06:28:50Z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