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ind w:right="480"/>
              <w:rPr>
                <w:b/>
                <w:sz w:val="24"/>
              </w:rPr>
            </w:pPr>
            <w:r>
              <w:rPr>
                <w:rFonts w:hint="eastAsia" w:hAnsi="Arial"/>
                <w:b/>
                <w:sz w:val="24"/>
              </w:rPr>
              <w:t>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sz w:val="24"/>
              </w:rPr>
            </w:pPr>
            <w:r>
              <w:rPr>
                <w:rFonts w:hint="default" w:ascii="Times New Roman" w:hAnsi="Times New Roman" w:eastAsia="宋体" w:cs="Times New Roman"/>
                <w:b/>
                <w:kern w:val="2"/>
                <w:sz w:val="21"/>
                <w:szCs w:val="21"/>
                <w:lang w:val="en-US" w:eastAsia="zh-CN" w:bidi="ar-SA"/>
              </w:rPr>
              <w:t>1.1</w:t>
            </w:r>
            <w:r>
              <w:rPr>
                <w:rFonts w:hint="eastAsia" w:cs="Times New Roman"/>
                <w:b/>
                <w:kern w:val="2"/>
                <w:sz w:val="21"/>
                <w:szCs w:val="21"/>
                <w:lang w:val="en-US" w:eastAsia="zh-CN" w:bidi="ar-SA"/>
              </w:rPr>
              <w:t xml:space="preserve">  </w:t>
            </w:r>
            <w:r>
              <w:rPr>
                <w:rFonts w:hint="eastAsia" w:hAnsi="Arial" w:cs="Arial"/>
                <w:b/>
                <w:bCs/>
                <w:kern w:val="0"/>
                <w:sz w:val="24"/>
              </w:rPr>
              <w:t>Product</w:t>
            </w:r>
            <w:r>
              <w:rPr>
                <w:rFonts w:hAnsi="Arial" w:cs="Arial"/>
                <w:b/>
                <w:bCs/>
                <w:kern w:val="0"/>
                <w:sz w:val="24"/>
              </w:rPr>
              <w:t xml:space="preserve"> </w:t>
            </w:r>
            <w:r>
              <w:rPr>
                <w:rFonts w:hint="eastAsia" w:hAnsi="Arial" w:cs="Arial"/>
                <w:b/>
                <w:bCs/>
                <w:kern w:val="0"/>
                <w:sz w:val="24"/>
              </w:rPr>
              <w:t>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sz w:val="24"/>
                <w:szCs w:val="24"/>
                <w:lang w:val="en-US" w:eastAsia="zh-CN"/>
              </w:rPr>
            </w:pPr>
            <w:r>
              <w:rPr>
                <w:rFonts w:eastAsia="宋体"/>
                <w:b w:val="0"/>
                <w:bCs w:val="0"/>
                <w:sz w:val="24"/>
                <w:szCs w:val="24"/>
              </w:rPr>
              <w:t>Cationic polyurethane dispersion PU-2702</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7"/>
              <w:jc w:val="left"/>
              <w:textAlignment w:val="auto"/>
              <w:rPr>
                <w:b/>
                <w:sz w:val="24"/>
              </w:rPr>
            </w:pPr>
            <w:r>
              <w:rPr>
                <w:rFonts w:hAnsi="Arial"/>
                <w:b/>
                <w:sz w:val="24"/>
              </w:rPr>
              <w:t>Chemical category</w:t>
            </w:r>
            <w:r>
              <w:rPr>
                <w:rFonts w:hint="eastAsia" w:hAnsi="Arial"/>
                <w:b/>
                <w:sz w:val="24"/>
              </w:rPr>
              <w:t>：</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val="en-US" w:eastAsia="zh-CN"/>
              </w:rPr>
            </w:pPr>
            <w:r>
              <w:rPr>
                <w:rFonts w:hint="eastAsia" w:eastAsia="宋体"/>
                <w:b w:val="0"/>
                <w:bCs w:val="0"/>
                <w:sz w:val="24"/>
                <w:szCs w:val="24"/>
                <w:lang w:val="en-US" w:eastAsia="zh-CN"/>
              </w:rPr>
              <w:t>Polyurethane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tabs>
                <w:tab w:val="left" w:pos="0"/>
                <w:tab w:val="left" w:pos="459"/>
              </w:tabs>
              <w:kinsoku/>
              <w:wordWrap/>
              <w:overflowPunct/>
              <w:topLinePunct w:val="0"/>
              <w:autoSpaceDE/>
              <w:autoSpaceDN/>
              <w:bidi w:val="0"/>
              <w:adjustRightInd/>
              <w:snapToGrid/>
              <w:spacing w:line="300" w:lineRule="auto"/>
              <w:ind w:left="457" w:leftChars="0" w:hanging="457" w:hangingChars="217"/>
              <w:jc w:val="left"/>
              <w:textAlignment w:val="auto"/>
              <w:rPr>
                <w:b/>
                <w:sz w:val="24"/>
              </w:rPr>
            </w:pPr>
            <w:r>
              <w:rPr>
                <w:rFonts w:hint="default" w:ascii="Times New Roman" w:hAnsi="Times New Roman" w:eastAsia="宋体" w:cs="Times New Roman"/>
                <w:b/>
                <w:kern w:val="2"/>
                <w:sz w:val="21"/>
                <w:szCs w:val="21"/>
                <w:lang w:val="en-US" w:eastAsia="zh-CN" w:bidi="ar-SA"/>
              </w:rPr>
              <w:t>1.2</w:t>
            </w:r>
            <w:r>
              <w:rPr>
                <w:rFonts w:hint="eastAsia" w:cs="Times New Roman"/>
                <w:b/>
                <w:kern w:val="2"/>
                <w:sz w:val="21"/>
                <w:szCs w:val="21"/>
                <w:lang w:val="en-US" w:eastAsia="zh-CN" w:bidi="ar-SA"/>
              </w:rPr>
              <w:t xml:space="preserve">  </w:t>
            </w:r>
            <w:r>
              <w:rPr>
                <w:rFonts w:hint="eastAsia" w:hAnsi="Arial"/>
                <w:b/>
                <w:sz w:val="24"/>
              </w:rPr>
              <w:t>P</w:t>
            </w:r>
            <w:r>
              <w:rPr>
                <w:rFonts w:hAnsi="Arial"/>
                <w:b/>
                <w:sz w:val="24"/>
              </w:rPr>
              <w:t>roduct use suggestions and restrictions</w:t>
            </w:r>
            <w:r>
              <w:rPr>
                <w:rFonts w:hint="eastAsia" w:hAnsi="Arial"/>
                <w:b/>
                <w:sz w:val="24"/>
              </w:rPr>
              <w:t>：</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jc w:val="left"/>
              <w:textAlignment w:val="auto"/>
              <w:rPr>
                <w:rFonts w:hint="default" w:eastAsia="宋体"/>
                <w:sz w:val="24"/>
                <w:szCs w:val="24"/>
                <w:lang w:val="en-US" w:eastAsia="zh-CN"/>
              </w:rPr>
            </w:pPr>
            <w:r>
              <w:rPr>
                <w:rFonts w:hint="eastAsia" w:eastAsia="宋体"/>
                <w:b w:val="0"/>
                <w:bCs w:val="0"/>
                <w:sz w:val="24"/>
                <w:szCs w:val="24"/>
                <w:lang w:val="en-US" w:eastAsia="zh-CN"/>
              </w:rPr>
              <w:t>Coatings and inks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b/>
                <w:sz w:val="24"/>
              </w:rPr>
            </w:pPr>
            <w:r>
              <w:rPr>
                <w:rFonts w:hint="default" w:ascii="Times New Roman" w:hAnsi="Times New Roman" w:eastAsia="宋体" w:cs="Times New Roman"/>
                <w:b/>
                <w:kern w:val="2"/>
                <w:sz w:val="21"/>
                <w:szCs w:val="21"/>
                <w:lang w:val="en-US" w:eastAsia="zh-CN" w:bidi="ar-SA"/>
              </w:rPr>
              <w:t>1.3</w:t>
            </w:r>
            <w:r>
              <w:rPr>
                <w:rFonts w:hint="eastAsia" w:cs="Times New Roman"/>
                <w:b/>
                <w:kern w:val="2"/>
                <w:sz w:val="21"/>
                <w:szCs w:val="21"/>
                <w:lang w:val="en-US" w:eastAsia="zh-CN" w:bidi="ar-SA"/>
              </w:rPr>
              <w:t xml:space="preserve">  </w:t>
            </w:r>
            <w:r>
              <w:rPr>
                <w:rFonts w:hint="eastAsia" w:hAnsi="Arial" w:cs="Arial"/>
                <w:b/>
                <w:bCs/>
                <w:kern w:val="0"/>
                <w:sz w:val="24"/>
              </w:rPr>
              <w:t>S</w:t>
            </w:r>
            <w:r>
              <w:rPr>
                <w:rFonts w:hAnsi="Arial" w:cs="Arial"/>
                <w:b/>
                <w:bCs/>
                <w:kern w:val="0"/>
                <w:sz w:val="24"/>
              </w:rPr>
              <w:t>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8" w:leftChars="218"/>
              <w:jc w:val="left"/>
              <w:textAlignment w:val="auto"/>
              <w:rPr>
                <w:b/>
                <w:sz w:val="24"/>
              </w:rPr>
            </w:pPr>
            <w:r>
              <w:rPr>
                <w:rFonts w:hAnsi="Arial" w:cs="Arial"/>
                <w:b/>
                <w:bCs/>
                <w:kern w:val="0"/>
                <w:sz w:val="24"/>
              </w:rPr>
              <w:t>Name of supplier</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1B02DD52">
            <w:pPr>
              <w:spacing w:line="300" w:lineRule="auto"/>
              <w:rPr>
                <w:rFonts w:hint="default" w:eastAsia="宋体" w:cs="宋体"/>
                <w:sz w:val="24"/>
                <w:szCs w:val="24"/>
                <w:lang w:val="en-US" w:eastAsia="zh-CN"/>
              </w:rPr>
            </w:pPr>
            <w:r>
              <w:rPr>
                <w:rFonts w:cs="Arial"/>
                <w:kern w:val="0"/>
                <w:sz w:val="24"/>
              </w:rPr>
              <w:t>Yingde Guocai Fine Chemical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firstLine="2"/>
              <w:jc w:val="left"/>
              <w:textAlignment w:val="auto"/>
              <w:rPr>
                <w:sz w:val="24"/>
              </w:rPr>
            </w:pPr>
            <w:r>
              <w:rPr>
                <w:rFonts w:hAnsi="Arial" w:cs="Arial"/>
                <w:b/>
                <w:bCs/>
                <w:kern w:val="0"/>
                <w:sz w:val="24"/>
              </w:rPr>
              <w:t>Supplier address:</w:t>
            </w:r>
          </w:p>
        </w:tc>
        <w:tc>
          <w:tcPr>
            <w:tcW w:w="6262" w:type="dxa"/>
            <w:tcBorders>
              <w:top w:val="dotted" w:color="auto" w:sz="4" w:space="0"/>
              <w:left w:val="dotted" w:color="auto" w:sz="4" w:space="0"/>
              <w:bottom w:val="dotted" w:color="auto" w:sz="4" w:space="0"/>
            </w:tcBorders>
            <w:vAlign w:val="center"/>
          </w:tcPr>
          <w:p w14:paraId="6BFC3553">
            <w:pPr>
              <w:spacing w:line="300" w:lineRule="auto"/>
              <w:rPr>
                <w:rFonts w:hint="eastAsia" w:eastAsia="宋体"/>
                <w:sz w:val="24"/>
                <w:szCs w:val="24"/>
                <w:lang w:eastAsia="zh-CN"/>
              </w:rPr>
            </w:pPr>
            <w:r>
              <w:rPr>
                <w:sz w:val="24"/>
              </w:rPr>
              <w:t>Kaidi Industrial Park, genggukeng, Taiping Village, Baisha Town, Yingde City, Guangdong Province</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right="482" w:firstLine="2"/>
              <w:jc w:val="left"/>
              <w:textAlignment w:val="auto"/>
              <w:rPr>
                <w:b/>
                <w:sz w:val="24"/>
              </w:rPr>
            </w:pPr>
            <w:r>
              <w:rPr>
                <w:rFonts w:hAnsi="Arial" w:cs="Arial"/>
                <w:b/>
                <w:bCs/>
                <w:kern w:val="0"/>
                <w:sz w:val="24"/>
              </w:rPr>
              <w:t>Tel</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4577C101">
            <w:pPr>
              <w:spacing w:line="300" w:lineRule="auto"/>
              <w:rPr>
                <w:sz w:val="24"/>
                <w:szCs w:val="24"/>
              </w:rPr>
            </w:pPr>
            <w:r>
              <w:rPr>
                <w:sz w:val="24"/>
              </w:rPr>
              <w:t>86-763-2811205</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right="482" w:firstLine="2"/>
              <w:jc w:val="left"/>
              <w:textAlignment w:val="auto"/>
              <w:rPr>
                <w:b/>
                <w:sz w:val="24"/>
              </w:rPr>
            </w:pPr>
            <w:r>
              <w:rPr>
                <w:rFonts w:hAnsi="Arial" w:cs="Arial"/>
                <w:b/>
                <w:bCs/>
                <w:kern w:val="0"/>
                <w:sz w:val="24"/>
              </w:rPr>
              <w:t>Fax</w:t>
            </w:r>
            <w:r>
              <w:rPr>
                <w:rFonts w:hint="eastAsia" w:hAnsi="Arial" w:cs="Arial"/>
                <w:b/>
                <w:bCs/>
                <w:kern w:val="0"/>
                <w:sz w:val="24"/>
              </w:rPr>
              <w:t>：</w:t>
            </w:r>
          </w:p>
        </w:tc>
        <w:tc>
          <w:tcPr>
            <w:tcW w:w="6262" w:type="dxa"/>
            <w:tcBorders>
              <w:top w:val="dotted" w:color="auto" w:sz="4" w:space="0"/>
              <w:left w:val="dotted" w:color="auto" w:sz="4" w:space="0"/>
              <w:bottom w:val="single" w:color="auto" w:sz="4" w:space="0"/>
            </w:tcBorders>
            <w:vAlign w:val="center"/>
          </w:tcPr>
          <w:p w14:paraId="498C9805">
            <w:pPr>
              <w:spacing w:line="300" w:lineRule="auto"/>
              <w:rPr>
                <w:sz w:val="24"/>
                <w:szCs w:val="24"/>
              </w:rPr>
            </w:pPr>
            <w:r>
              <w:rPr>
                <w:sz w:val="24"/>
              </w:rPr>
              <w:t>86-763-2811024</w:t>
            </w:r>
            <w:r>
              <w:rPr>
                <w:rFonts w:hint="eastAsia"/>
                <w:sz w:val="24"/>
              </w:rPr>
              <w:t xml:space="preserve">   </w:t>
            </w:r>
          </w:p>
        </w:tc>
      </w:tr>
    </w:tbl>
    <w:p w14:paraId="09551668">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95"/>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95" w:type="dxa"/>
            <w:tcBorders>
              <w:top w:val="single" w:color="auto" w:sz="4" w:space="0"/>
              <w:bottom w:val="single" w:color="auto" w:sz="4" w:space="0"/>
            </w:tcBorders>
            <w:shd w:val="clear" w:color="auto" w:fill="D9D9D9"/>
          </w:tcPr>
          <w:p w14:paraId="4A47552F">
            <w:pPr>
              <w:keepNext/>
              <w:numPr>
                <w:ilvl w:val="0"/>
                <w:numId w:val="0"/>
              </w:numPr>
              <w:spacing w:line="300" w:lineRule="auto"/>
              <w:ind w:right="480" w:rightChars="0"/>
              <w:rPr>
                <w:b/>
                <w:sz w:val="24"/>
              </w:rPr>
            </w:pPr>
            <w:r>
              <w:rPr>
                <w:rFonts w:ascii="Times New Roman" w:hAnsi="Times New Roman" w:eastAsia="宋体" w:cs="Times New Roman"/>
                <w:b/>
                <w:kern w:val="2"/>
                <w:sz w:val="24"/>
                <w:szCs w:val="24"/>
                <w:lang w:val="en-US" w:eastAsia="zh-CN" w:bidi="ar-SA"/>
              </w:rPr>
              <w:t>2.</w:t>
            </w:r>
            <w:r>
              <w:rPr>
                <w:rFonts w:hint="eastAsia" w:hAnsi="Arial"/>
                <w:b/>
                <w:sz w:val="24"/>
              </w:rPr>
              <w:t>Hazards</w:t>
            </w:r>
            <w:r>
              <w:rPr>
                <w:rFonts w:hAnsi="Arial"/>
                <w:b/>
                <w:sz w:val="24"/>
              </w:rPr>
              <w:t xml:space="preserve"> </w:t>
            </w:r>
            <w:r>
              <w:rPr>
                <w:rFonts w:hint="eastAsia" w:hAnsi="Arial"/>
                <w:b/>
                <w:sz w:val="24"/>
              </w:rPr>
              <w:t>Identification</w:t>
            </w:r>
          </w:p>
        </w:tc>
      </w:tr>
      <w:tr w14:paraId="48A93D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95" w:type="dxa"/>
            <w:tcBorders>
              <w:top w:val="dotted" w:color="auto" w:sz="4" w:space="0"/>
              <w:bottom w:val="dotted" w:color="auto" w:sz="4" w:space="0"/>
            </w:tcBorders>
          </w:tcPr>
          <w:p w14:paraId="6B49E97B">
            <w:r>
              <w:rPr>
                <w:rFonts w:eastAsia="宋体"/>
                <w:b w:val="0"/>
                <w:bCs w:val="0"/>
                <w:sz w:val="24"/>
                <w:szCs w:val="24"/>
              </w:rPr>
              <w:t>Classification of the substance or mixture</w:t>
            </w:r>
            <w:r>
              <w:rPr>
                <w:rFonts w:eastAsia="宋体"/>
                <w:b w:val="0"/>
                <w:bCs w:val="0"/>
                <w:sz w:val="24"/>
                <w:szCs w:val="24"/>
              </w:rPr>
              <w:br w:type="textWrapping"/>
            </w:r>
            <w:r>
              <w:rPr>
                <w:rFonts w:eastAsia="宋体"/>
                <w:b w:val="0"/>
                <w:bCs w:val="0"/>
                <w:sz w:val="24"/>
                <w:szCs w:val="24"/>
              </w:rPr>
              <w:t>2.1 Classification of the substance or mixture</w:t>
            </w:r>
            <w:r>
              <w:rPr>
                <w:rFonts w:eastAsia="宋体"/>
                <w:b w:val="0"/>
                <w:bCs w:val="0"/>
                <w:sz w:val="24"/>
                <w:szCs w:val="24"/>
              </w:rPr>
              <w:br w:type="textWrapping"/>
            </w:r>
            <w:r>
              <w:rPr>
                <w:rFonts w:eastAsia="宋体"/>
                <w:b w:val="0"/>
                <w:bCs w:val="0"/>
                <w:sz w:val="24"/>
                <w:szCs w:val="24"/>
              </w:rPr>
              <w:t xml:space="preserve">      GHS hazard class:</w:t>
            </w:r>
            <w:r>
              <w:rPr>
                <w:rFonts w:eastAsia="宋体"/>
                <w:b w:val="0"/>
                <w:bCs w:val="0"/>
                <w:sz w:val="24"/>
                <w:szCs w:val="24"/>
              </w:rPr>
              <w:br w:type="textWrapping"/>
            </w:r>
            <w:r>
              <w:rPr>
                <w:rFonts w:eastAsia="宋体"/>
                <w:b w:val="0"/>
                <w:bCs w:val="0"/>
                <w:sz w:val="24"/>
                <w:szCs w:val="24"/>
              </w:rPr>
              <w:t xml:space="preserve">      Not classified as a hazardous chemical according to GHS</w:t>
            </w:r>
            <w:r>
              <w:rPr>
                <w:rFonts w:eastAsia="宋体"/>
                <w:b w:val="0"/>
                <w:bCs w:val="0"/>
                <w:sz w:val="24"/>
                <w:szCs w:val="24"/>
              </w:rPr>
              <w:br w:type="textWrapping"/>
            </w:r>
            <w:r>
              <w:rPr>
                <w:rFonts w:eastAsia="宋体"/>
                <w:b w:val="0"/>
                <w:bCs w:val="0"/>
                <w:sz w:val="24"/>
                <w:szCs w:val="24"/>
              </w:rPr>
              <w:t>2.2 Label elements</w:t>
            </w:r>
            <w:r>
              <w:rPr>
                <w:rFonts w:eastAsia="宋体"/>
                <w:b w:val="0"/>
                <w:bCs w:val="0"/>
                <w:sz w:val="24"/>
                <w:szCs w:val="24"/>
              </w:rPr>
              <w:br w:type="textWrapping"/>
            </w:r>
            <w:r>
              <w:rPr>
                <w:rFonts w:eastAsia="宋体"/>
                <w:b w:val="0"/>
                <w:bCs w:val="0"/>
                <w:sz w:val="24"/>
                <w:szCs w:val="24"/>
              </w:rPr>
              <w:t xml:space="preserve">      GHS pictogram </w:t>
            </w:r>
            <w:r>
              <w:rPr>
                <w:rFonts w:eastAsia="宋体"/>
                <w:b w:val="0"/>
                <w:bCs w:val="0"/>
                <w:sz w:val="24"/>
                <w:szCs w:val="24"/>
              </w:rPr>
              <w:br w:type="textWrapping"/>
            </w:r>
            <w:r>
              <w:rPr>
                <w:rFonts w:eastAsia="宋体"/>
                <w:b w:val="0"/>
                <w:bCs w:val="0"/>
                <w:sz w:val="24"/>
                <w:szCs w:val="24"/>
              </w:rPr>
              <w:t xml:space="preserve">      Not classified as a hazardous chemical according to GHS</w:t>
            </w:r>
            <w:r>
              <w:rPr>
                <w:rFonts w:eastAsia="宋体"/>
                <w:b w:val="0"/>
                <w:bCs w:val="0"/>
                <w:sz w:val="24"/>
                <w:szCs w:val="24"/>
              </w:rPr>
              <w:br w:type="textWrapping"/>
            </w:r>
            <w:r>
              <w:rPr>
                <w:rFonts w:eastAsia="宋体"/>
                <w:b w:val="0"/>
                <w:bCs w:val="0"/>
                <w:sz w:val="24"/>
                <w:szCs w:val="24"/>
              </w:rPr>
              <w:t>2.3 Other hazards: No applicable information.</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3.</w:t>
            </w:r>
            <w:r>
              <w:rPr>
                <w:rFonts w:hint="eastAsia" w:hAnsi="Arial"/>
                <w:b/>
                <w:sz w:val="24"/>
              </w:rPr>
              <w:t>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459" w:leftChars="0" w:right="34" w:rightChars="0" w:hanging="459" w:firstLineChars="0"/>
              <w:jc w:val="left"/>
              <w:textAlignment w:val="auto"/>
              <w:rPr>
                <w:sz w:val="24"/>
              </w:rPr>
            </w:pPr>
            <w:r>
              <w:rPr>
                <w:rFonts w:hint="eastAsia" w:hAnsi="Arial" w:cs="Times New Roman"/>
                <w:b/>
                <w:kern w:val="2"/>
                <w:sz w:val="21"/>
                <w:szCs w:val="21"/>
                <w:lang w:val="en-US" w:eastAsia="zh-CN" w:bidi="ar-SA"/>
              </w:rPr>
              <w:t xml:space="preserve">3.1  </w:t>
            </w:r>
            <w:r>
              <w:rPr>
                <w:rFonts w:hint="eastAsia" w:hAnsi="Arial" w:cs="Arial"/>
                <w:b/>
                <w:bCs/>
                <w:kern w:val="0"/>
                <w:sz w:val="24"/>
              </w:rPr>
              <w:t>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cs="Arial"/>
                <w:kern w:val="0"/>
                <w:sz w:val="24"/>
              </w:rPr>
            </w:pPr>
            <w:r>
              <w:rPr>
                <w:rFonts w:hint="eastAsia" w:eastAsia="宋体"/>
                <w:b w:val="0"/>
                <w:bCs w:val="0"/>
                <w:sz w:val="24"/>
                <w:szCs w:val="24"/>
                <w:lang w:val="en-US" w:eastAsia="zh-CN"/>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459" w:leftChars="0" w:right="34" w:rightChars="0" w:hanging="459" w:firstLineChars="0"/>
              <w:jc w:val="left"/>
              <w:textAlignment w:val="auto"/>
              <w:rPr>
                <w:b/>
                <w:sz w:val="24"/>
              </w:rPr>
            </w:pPr>
            <w:r>
              <w:rPr>
                <w:rFonts w:hint="eastAsia" w:hAnsi="Arial" w:cs="Times New Roman"/>
                <w:b/>
                <w:kern w:val="2"/>
                <w:sz w:val="21"/>
                <w:szCs w:val="21"/>
                <w:lang w:val="en-US" w:eastAsia="zh-CN" w:bidi="ar-SA"/>
              </w:rPr>
              <w:t xml:space="preserve">3.2  </w:t>
            </w:r>
            <w:r>
              <w:rPr>
                <w:rFonts w:hint="eastAsia"/>
                <w:b/>
                <w:sz w:val="24"/>
              </w:rPr>
              <w:t>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u w:val="single"/>
              </w:rPr>
            </w:pPr>
            <w:r>
              <w:rPr>
                <w:rFonts w:hint="eastAsia"/>
                <w:b/>
                <w:sz w:val="24"/>
                <w:u w:val="single"/>
              </w:rPr>
              <w:t>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rFonts w:hint="eastAsia"/>
                <w:b/>
                <w:sz w:val="24"/>
                <w:u w:val="single"/>
              </w:rPr>
            </w:pPr>
            <w:r>
              <w:rPr>
                <w:rFonts w:hint="eastAsia"/>
                <w:b/>
                <w:sz w:val="24"/>
                <w:u w:val="single"/>
              </w:rPr>
              <w:t>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rFonts w:hint="eastAsia"/>
                <w:b/>
                <w:sz w:val="24"/>
                <w:u w:val="single"/>
              </w:rPr>
            </w:pPr>
            <w:r>
              <w:rPr>
                <w:rFonts w:hint="eastAsia"/>
                <w:b/>
                <w:sz w:val="24"/>
                <w:u w:val="single"/>
              </w:rPr>
              <w:t>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Aliphatic polyurethane polymer</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sz w:val="24"/>
                <w:szCs w:val="24"/>
                <w:lang w:val="en-US" w:eastAsia="zh-CN"/>
              </w:rPr>
            </w:pPr>
            <w:r>
              <w:rPr>
                <w:rFonts w:hint="eastAsia" w:eastAsia="宋体"/>
                <w:b w:val="0"/>
                <w:bCs w:val="0"/>
                <w:sz w:val="24"/>
                <w:szCs w:val="24"/>
                <w:lang w:val="en-US" w:eastAsia="zh-CN"/>
              </w:rPr>
              <w:t>Trade secret</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33±5</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Acetone</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sz w:val="24"/>
                <w:szCs w:val="24"/>
                <w:lang w:val="en-US" w:eastAsia="zh-CN"/>
              </w:rPr>
            </w:pPr>
            <w:r>
              <w:rPr>
                <w:rFonts w:hint="eastAsia" w:eastAsia="宋体"/>
                <w:b w:val="0"/>
                <w:bCs w:val="0"/>
                <w:sz w:val="24"/>
                <w:szCs w:val="24"/>
                <w:lang w:val="en-US" w:eastAsia="zh-CN"/>
              </w:rPr>
              <w:t>67-64-1</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0.5±0.5</w:t>
            </w:r>
          </w:p>
        </w:tc>
      </w:tr>
      <w:tr w14:paraId="02145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1DB9A61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Acetic acid</w:t>
            </w:r>
          </w:p>
        </w:tc>
        <w:tc>
          <w:tcPr>
            <w:tcW w:w="3153" w:type="dxa"/>
            <w:tcBorders>
              <w:top w:val="dotted" w:color="auto" w:sz="4" w:space="0"/>
              <w:left w:val="dotted" w:color="auto" w:sz="4" w:space="0"/>
              <w:bottom w:val="single" w:color="auto" w:sz="4" w:space="0"/>
              <w:right w:val="dotted" w:color="auto" w:sz="4" w:space="0"/>
            </w:tcBorders>
            <w:vAlign w:val="center"/>
          </w:tcPr>
          <w:p w14:paraId="14A8FB2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sz w:val="24"/>
                <w:szCs w:val="24"/>
                <w:lang w:val="en-US" w:eastAsia="zh-CN"/>
              </w:rPr>
            </w:pPr>
            <w:r>
              <w:rPr>
                <w:rFonts w:hint="eastAsia" w:eastAsia="宋体"/>
                <w:b w:val="0"/>
                <w:bCs w:val="0"/>
                <w:sz w:val="24"/>
                <w:szCs w:val="24"/>
                <w:lang w:val="en-US" w:eastAsia="zh-CN"/>
              </w:rPr>
              <w:t>64-19-7</w:t>
            </w:r>
          </w:p>
        </w:tc>
        <w:tc>
          <w:tcPr>
            <w:tcW w:w="3109" w:type="dxa"/>
            <w:tcBorders>
              <w:top w:val="dotted" w:color="auto" w:sz="4" w:space="0"/>
              <w:left w:val="dotted" w:color="auto" w:sz="4" w:space="0"/>
              <w:bottom w:val="single" w:color="auto" w:sz="4" w:space="0"/>
              <w:right w:val="single" w:color="auto" w:sz="4" w:space="0"/>
            </w:tcBorders>
            <w:vAlign w:val="center"/>
          </w:tcPr>
          <w:p w14:paraId="15263A31">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1.5±0.5</w:t>
            </w:r>
          </w:p>
        </w:tc>
      </w:tr>
      <w:tr w14:paraId="7255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1C71CD3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Water</w:t>
            </w:r>
          </w:p>
        </w:tc>
        <w:tc>
          <w:tcPr>
            <w:tcW w:w="3153" w:type="dxa"/>
            <w:tcBorders>
              <w:top w:val="dotted" w:color="auto" w:sz="4" w:space="0"/>
              <w:left w:val="dotted" w:color="auto" w:sz="4" w:space="0"/>
              <w:bottom w:val="single" w:color="auto" w:sz="4" w:space="0"/>
              <w:right w:val="dotted" w:color="auto" w:sz="4" w:space="0"/>
            </w:tcBorders>
            <w:vAlign w:val="center"/>
          </w:tcPr>
          <w:p w14:paraId="17D8DCD4">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sz w:val="24"/>
                <w:szCs w:val="24"/>
                <w:lang w:val="en-US" w:eastAsia="zh-CN"/>
              </w:rPr>
            </w:pPr>
            <w:r>
              <w:rPr>
                <w:rFonts w:hint="eastAsia" w:eastAsia="宋体"/>
                <w:b w:val="0"/>
                <w:bCs w:val="0"/>
                <w:sz w:val="24"/>
                <w:szCs w:val="24"/>
                <w:lang w:val="en-US" w:eastAsia="zh-CN"/>
              </w:rPr>
              <w:t>7732-18-5</w:t>
            </w:r>
          </w:p>
        </w:tc>
        <w:tc>
          <w:tcPr>
            <w:tcW w:w="3109" w:type="dxa"/>
            <w:tcBorders>
              <w:top w:val="dotted" w:color="auto" w:sz="4" w:space="0"/>
              <w:left w:val="dotted" w:color="auto" w:sz="4" w:space="0"/>
              <w:bottom w:val="single" w:color="auto" w:sz="4" w:space="0"/>
              <w:right w:val="single" w:color="auto" w:sz="4" w:space="0"/>
            </w:tcBorders>
            <w:vAlign w:val="center"/>
          </w:tcPr>
          <w:p w14:paraId="7B8B5EB5">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eastAsia" w:eastAsia="宋体"/>
                <w:b w:val="0"/>
                <w:bCs w:val="0"/>
                <w:sz w:val="24"/>
                <w:szCs w:val="24"/>
                <w:lang w:val="en-US" w:eastAsia="zh-CN"/>
              </w:rPr>
              <w:t>65±5</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4.</w:t>
            </w:r>
            <w:r>
              <w:rPr>
                <w:b/>
                <w:sz w:val="24"/>
              </w:rPr>
              <w:t>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hAnsi="Arial" w:cs="Times New Roman"/>
                <w:b/>
                <w:kern w:val="2"/>
                <w:sz w:val="21"/>
                <w:szCs w:val="21"/>
                <w:lang w:val="en-US" w:eastAsia="zh-CN" w:bidi="ar-SA"/>
              </w:rPr>
              <w:t xml:space="preserve">4.1  </w:t>
            </w:r>
            <w:r>
              <w:rPr>
                <w:rFonts w:hint="eastAsia"/>
                <w:b/>
                <w:sz w:val="24"/>
              </w:rPr>
              <w:t>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b w:val="0"/>
                <w:bCs w:val="0"/>
                <w:sz w:val="24"/>
                <w:szCs w:val="24"/>
                <w:lang w:val="en-US" w:eastAsia="zh-CN"/>
              </w:rPr>
              <w:t>Immediately remove all contaminated clothing.</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2  </w:t>
            </w:r>
            <w:r>
              <w:rPr>
                <w:rFonts w:hint="eastAsia"/>
                <w:b/>
                <w:sz w:val="24"/>
              </w:rPr>
              <w:t>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sz w:val="24"/>
                <w:szCs w:val="24"/>
                <w:lang w:val="en-US" w:eastAsia="zh-CN"/>
              </w:rPr>
              <w:t>Do not induce vomiting and seek medical advice. When unconscious, do not feed any food through the mouth.</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3  </w:t>
            </w:r>
            <w:r>
              <w:rPr>
                <w:rFonts w:hint="eastAsia"/>
                <w:b/>
                <w:sz w:val="24"/>
              </w:rPr>
              <w:t>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Hold the eyelids open and rinse thoroughly with lukewarm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4  </w:t>
            </w:r>
            <w:r>
              <w:rPr>
                <w:rFonts w:hint="eastAsia"/>
                <w:b/>
                <w:sz w:val="24"/>
              </w:rPr>
              <w:t>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b w:val="0"/>
                <w:bCs w:val="0"/>
                <w:sz w:val="24"/>
                <w:szCs w:val="24"/>
                <w:lang w:val="en-US" w:eastAsia="zh-CN"/>
              </w:rPr>
              <w:t>Immediately wash with soap and plenty of water. If a skin reaction occurs, seek medical attention.</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5  </w:t>
            </w:r>
            <w:r>
              <w:rPr>
                <w:rFonts w:hint="eastAsia"/>
                <w:b/>
                <w:sz w:val="24"/>
              </w:rPr>
              <w:t>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If respiratory tract irritation occurs, seek medical attention.</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5.</w:t>
            </w:r>
            <w:r>
              <w:rPr>
                <w:b/>
                <w:sz w:val="24"/>
              </w:rPr>
              <w:t>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hint="eastAsia" w:cs="Times New Roman"/>
                <w:b/>
                <w:kern w:val="2"/>
                <w:sz w:val="21"/>
                <w:szCs w:val="21"/>
                <w:lang w:val="en-US" w:eastAsia="zh-CN" w:bidi="ar-SA"/>
              </w:rPr>
              <w:t>5</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1  </w:t>
            </w:r>
            <w:r>
              <w:rPr>
                <w:rFonts w:hint="eastAsia"/>
                <w:b/>
                <w:sz w:val="24"/>
              </w:rPr>
              <w:t>Suitable extinguishing</w:t>
            </w:r>
          </w:p>
          <w:p w14:paraId="235432E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Carbon dioxide (CO₂), foam, or dry chemical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leftChars="0" w:hanging="632" w:hangingChars="300"/>
              <w:jc w:val="left"/>
              <w:textAlignment w:val="auto"/>
              <w:rPr>
                <w:rFonts w:hint="eastAsia"/>
                <w:b/>
                <w:sz w:val="24"/>
              </w:rPr>
            </w:pPr>
            <w:r>
              <w:rPr>
                <w:rFonts w:hint="eastAsia" w:ascii="Times New Roman" w:hAnsi="Times New Roman" w:eastAsia="宋体" w:cs="Times New Roman"/>
                <w:b/>
                <w:kern w:val="2"/>
                <w:sz w:val="21"/>
                <w:szCs w:val="21"/>
                <w:lang w:val="en-US" w:eastAsia="zh-CN" w:bidi="ar-SA"/>
              </w:rPr>
              <w:t>5.2</w:t>
            </w:r>
            <w:r>
              <w:rPr>
                <w:rFonts w:hint="eastAsia" w:cs="Times New Roman"/>
                <w:b/>
                <w:kern w:val="2"/>
                <w:sz w:val="21"/>
                <w:szCs w:val="21"/>
                <w:lang w:val="en-US" w:eastAsia="zh-CN" w:bidi="ar-SA"/>
              </w:rPr>
              <w:t xml:space="preserve">  </w:t>
            </w:r>
            <w:r>
              <w:rPr>
                <w:rFonts w:hint="eastAsia"/>
                <w:b/>
                <w:sz w:val="24"/>
              </w:rPr>
              <w:t>Unsuitable extinguishing</w:t>
            </w:r>
          </w:p>
          <w:p w14:paraId="0E7DF0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lang w:val="en-US" w:eastAsia="zh-CN"/>
              </w:rPr>
            </w:pPr>
            <w:r>
              <w:rPr>
                <w:rFonts w:hint="eastAsia" w:ascii="Times New Roman" w:hAnsi="Times New Roman" w:eastAsia="宋体" w:cs="Times New Roman"/>
                <w:b/>
                <w:kern w:val="2"/>
                <w:sz w:val="21"/>
                <w:szCs w:val="21"/>
                <w:lang w:val="en-US" w:eastAsia="zh-CN" w:bidi="ar-SA"/>
              </w:rPr>
              <w:t>5.3</w:t>
            </w:r>
            <w:r>
              <w:rPr>
                <w:rFonts w:hint="eastAsia" w:cs="Times New Roman"/>
                <w:b/>
                <w:kern w:val="2"/>
                <w:sz w:val="21"/>
                <w:szCs w:val="21"/>
                <w:lang w:val="en-US" w:eastAsia="zh-CN" w:bidi="ar-SA"/>
              </w:rPr>
              <w:t xml:space="preserve">  </w:t>
            </w:r>
            <w:r>
              <w:rPr>
                <w:rFonts w:hint="eastAsia"/>
                <w:b/>
                <w:sz w:val="24"/>
              </w:rPr>
              <w:t xml:space="preserve">Special hazards </w:t>
            </w:r>
            <w:r>
              <w:rPr>
                <w:rFonts w:hint="eastAsia"/>
                <w:b/>
                <w:sz w:val="24"/>
                <w:lang w:val="en-US" w:eastAsia="zh-CN"/>
              </w:rPr>
              <w:t>of</w:t>
            </w:r>
          </w:p>
          <w:p w14:paraId="349E2E1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rFonts w:hint="default" w:eastAsia="宋体"/>
                <w:b/>
                <w:sz w:val="24"/>
                <w:lang w:val="en-US" w:eastAsia="zh-CN"/>
              </w:rPr>
            </w:pPr>
            <w:r>
              <w:rPr>
                <w:rFonts w:hint="eastAsia"/>
                <w:b/>
                <w:sz w:val="24"/>
                <w:lang w:val="en-US" w:eastAsia="zh-CN"/>
              </w:rPr>
              <w:t>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Combustion releases carbon monoxide, carbon dioxide, nitrogen oxides, and small amounts of hydrogen cyanide.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In the event of fire or explosion, do not breathe smoke or fumes.</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hint="eastAsia" w:ascii="Times New Roman" w:hAnsi="Times New Roman" w:eastAsia="宋体" w:cs="Times New Roman"/>
                <w:b/>
                <w:kern w:val="2"/>
                <w:sz w:val="21"/>
                <w:szCs w:val="21"/>
                <w:lang w:val="en-US" w:eastAsia="zh-CN" w:bidi="ar-SA"/>
              </w:rPr>
              <w:t>5.4</w:t>
            </w:r>
            <w:r>
              <w:rPr>
                <w:rFonts w:hint="eastAsia" w:cs="Times New Roman"/>
                <w:b/>
                <w:kern w:val="2"/>
                <w:sz w:val="21"/>
                <w:szCs w:val="21"/>
                <w:lang w:val="en-US" w:eastAsia="zh-CN" w:bidi="ar-SA"/>
              </w:rPr>
              <w:t xml:space="preserve">  </w:t>
            </w:r>
            <w:r>
              <w:rPr>
                <w:rFonts w:hint="eastAsia"/>
                <w:b/>
                <w:sz w:val="24"/>
              </w:rPr>
              <w:t>Firefighting precautions</w:t>
            </w:r>
          </w:p>
          <w:p w14:paraId="7DD65C9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Firefighters must wear self-contained breathing apparatus.</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Prevent contaminated fire-fighting water from entering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6.</w:t>
            </w:r>
            <w:r>
              <w:rPr>
                <w:b/>
                <w:sz w:val="24"/>
              </w:rPr>
              <w:t>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hint="eastAsia" w:cs="Times New Roman"/>
                <w:b/>
                <w:kern w:val="2"/>
                <w:sz w:val="21"/>
                <w:szCs w:val="21"/>
                <w:lang w:val="en-US" w:eastAsia="zh-CN" w:bidi="ar-SA"/>
              </w:rPr>
              <w:t>6</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1  </w:t>
            </w:r>
            <w:r>
              <w:rPr>
                <w:rFonts w:hint="eastAsia"/>
                <w:b/>
                <w:sz w:val="24"/>
              </w:rPr>
              <w:t>Firefighting precautions</w:t>
            </w:r>
          </w:p>
          <w:p w14:paraId="4FA2DD9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Wear protective equipment. Keep away from sources of ignition.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Ensure adequate ventilation/exhaust.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ind w:left="420" w:leftChars="0" w:hanging="420" w:firstLineChars="0"/>
              <w:jc w:val="left"/>
              <w:textAlignment w:val="auto"/>
              <w:rPr>
                <w:rFonts w:hint="eastAsia"/>
                <w:b/>
                <w:sz w:val="24"/>
              </w:rPr>
            </w:pPr>
            <w:r>
              <w:rPr>
                <w:rFonts w:hint="eastAsia" w:ascii="Times New Roman" w:hAnsi="Times New Roman" w:eastAsia="宋体" w:cs="Times New Roman"/>
                <w:b/>
                <w:kern w:val="2"/>
                <w:sz w:val="21"/>
                <w:szCs w:val="21"/>
                <w:lang w:val="en-US" w:eastAsia="zh-CN" w:bidi="ar-SA"/>
              </w:rPr>
              <w:t>6.2</w:t>
            </w:r>
            <w:r>
              <w:rPr>
                <w:rFonts w:hint="eastAsia" w:cs="Times New Roman"/>
                <w:b/>
                <w:kern w:val="2"/>
                <w:sz w:val="21"/>
                <w:szCs w:val="21"/>
                <w:lang w:val="en-US" w:eastAsia="zh-CN" w:bidi="ar-SA"/>
              </w:rPr>
              <w:t xml:space="preserve">  </w:t>
            </w:r>
            <w:r>
              <w:rPr>
                <w:rFonts w:hint="eastAsia"/>
                <w:b/>
                <w:sz w:val="24"/>
              </w:rPr>
              <w:t>Environmental</w:t>
            </w:r>
          </w:p>
          <w:p w14:paraId="2CE602CD">
            <w:pPr>
              <w:keepNext w:val="0"/>
              <w:keepLines w:val="0"/>
              <w:pageBreakBefore w:val="0"/>
              <w:numPr>
                <w:ilvl w:val="0"/>
                <w:numId w:val="0"/>
              </w:numPr>
              <w:kinsoku/>
              <w:wordWrap/>
              <w:overflowPunct/>
              <w:topLinePunct w:val="0"/>
              <w:bidi w:val="0"/>
              <w:snapToGrid/>
              <w:spacing w:line="300" w:lineRule="auto"/>
              <w:ind w:firstLine="482" w:firstLineChars="200"/>
              <w:jc w:val="left"/>
              <w:textAlignment w:val="auto"/>
              <w:rPr>
                <w:b/>
                <w:sz w:val="24"/>
              </w:rPr>
            </w:pPr>
            <w:r>
              <w:rPr>
                <w:rFonts w:hint="eastAsia"/>
                <w:b/>
                <w:sz w:val="24"/>
              </w:rPr>
              <w:t>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6.3</w:t>
            </w:r>
            <w:r>
              <w:rPr>
                <w:rFonts w:hint="eastAsia" w:cs="Times New Roman"/>
                <w:b/>
                <w:kern w:val="2"/>
                <w:sz w:val="21"/>
                <w:szCs w:val="21"/>
                <w:lang w:val="en-US" w:eastAsia="zh-CN" w:bidi="ar-SA"/>
              </w:rPr>
              <w:t xml:space="preserve">  </w:t>
            </w:r>
            <w:r>
              <w:rPr>
                <w:rFonts w:hint="eastAsia"/>
                <w:b/>
                <w:sz w:val="24"/>
              </w:rPr>
              <w:t>Methods and material for</w:t>
            </w:r>
            <w:r>
              <w:rPr>
                <w:rFonts w:hint="eastAsia"/>
                <w:b/>
                <w:sz w:val="24"/>
                <w:lang w:val="en-US" w:eastAsia="zh-CN"/>
              </w:rPr>
              <w:t xml:space="preserve"> </w:t>
            </w:r>
            <w:r>
              <w:rPr>
                <w:rFonts w:hint="eastAsia"/>
                <w:b/>
                <w:sz w:val="24"/>
              </w:rPr>
              <w:t>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Collect with a chemical absorbent or, if necessary, dry sand, and store in a sealed container.</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7.</w:t>
            </w:r>
            <w:r>
              <w:rPr>
                <w:b/>
                <w:sz w:val="24"/>
              </w:rPr>
              <w:t>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ind w:left="459" w:leftChars="0" w:hanging="459" w:firstLineChars="0"/>
              <w:jc w:val="left"/>
              <w:textAlignment w:val="auto"/>
              <w:rPr>
                <w:b/>
                <w:sz w:val="24"/>
              </w:rPr>
            </w:pPr>
            <w:r>
              <w:rPr>
                <w:rFonts w:hint="eastAsia" w:cs="Times New Roman"/>
                <w:b/>
                <w:kern w:val="2"/>
                <w:sz w:val="21"/>
                <w:szCs w:val="21"/>
                <w:lang w:val="en-US" w:eastAsia="zh-CN" w:bidi="ar-SA"/>
              </w:rPr>
              <w:t>7</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1  </w:t>
            </w:r>
            <w:r>
              <w:rPr>
                <w:rFonts w:hint="eastAsia"/>
                <w:b/>
                <w:sz w:val="24"/>
              </w:rPr>
              <w:t>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Follow the usual precautions for handling chemicals. Avoid contact with skin and eyes.</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Keep away from food, drink, and tobacco. Wash hands before breaks and at the end of work. Store work clothing separately.</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Change contaminated or wet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ind w:left="459" w:leftChars="0" w:hanging="459" w:firstLineChars="0"/>
              <w:jc w:val="left"/>
              <w:textAlignment w:val="auto"/>
              <w:rPr>
                <w:b/>
                <w:sz w:val="24"/>
              </w:rPr>
            </w:pPr>
            <w:r>
              <w:rPr>
                <w:rFonts w:hint="eastAsia" w:cs="Times New Roman"/>
                <w:b/>
                <w:kern w:val="2"/>
                <w:sz w:val="21"/>
                <w:szCs w:val="21"/>
                <w:lang w:val="en-US" w:eastAsia="zh-CN" w:bidi="ar-SA"/>
              </w:rPr>
              <w:t>7</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2  </w:t>
            </w:r>
            <w:r>
              <w:rPr>
                <w:rFonts w:hint="eastAsia"/>
                <w:b/>
                <w:sz w:val="24"/>
              </w:rPr>
              <w:t>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b w:val="0"/>
                <w:bCs w:val="0"/>
                <w:sz w:val="24"/>
                <w:szCs w:val="24"/>
                <w:lang w:val="en-US" w:eastAsia="zh-CN"/>
              </w:rPr>
              <w:t>Keep the container tightly closed and store in a dry, well-ventilated place. To maintain product quality, follow the storage conditions specified in our product information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521"/>
        <w:gridCol w:w="6339"/>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2"/>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8.</w:t>
            </w:r>
            <w:r>
              <w:rPr>
                <w:b/>
                <w:sz w:val="24"/>
              </w:rPr>
              <w:t>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2"/>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pPr>
            <w:r>
              <w:rPr>
                <w:rFonts w:hint="eastAsia" w:hAnsi="Arial" w:cs="Times New Roman"/>
                <w:b/>
                <w:kern w:val="2"/>
                <w:sz w:val="21"/>
                <w:szCs w:val="21"/>
                <w:lang w:val="en-US" w:eastAsia="zh-CN" w:bidi="ar-SA"/>
              </w:rPr>
              <w:t xml:space="preserve">8.1  </w:t>
            </w:r>
            <w:r>
              <w:rPr>
                <w:rFonts w:hint="eastAsia" w:hAnsi="Arial"/>
                <w:b/>
                <w:sz w:val="24"/>
                <w:lang w:val="en-US" w:eastAsia="zh-CN"/>
              </w:rPr>
              <w:t>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Respiratory protection：</w:t>
            </w:r>
          </w:p>
        </w:tc>
        <w:tc>
          <w:tcPr>
            <w:tcW w:w="6339" w:type="dxa"/>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jc w:val="left"/>
              <w:rPr>
                <w:b/>
                <w:sz w:val="22"/>
                <w:szCs w:val="22"/>
              </w:rPr>
            </w:pPr>
            <w:r>
              <w:rPr>
                <w:rFonts w:eastAsia="宋体" w:cs="Arial"/>
                <w:b w:val="0"/>
                <w:bCs w:val="0"/>
                <w:kern w:val="0"/>
                <w:sz w:val="24"/>
                <w:szCs w:val="24"/>
              </w:rPr>
              <w:t>Respiratory protective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tabs>
                <w:tab w:val="left" w:pos="3451"/>
              </w:tabs>
              <w:kinsoku/>
              <w:wordWrap/>
              <w:overflowPunct/>
              <w:topLinePunct w:val="0"/>
              <w:bidi w:val="0"/>
              <w:adjustRightInd/>
              <w:snapToGrid/>
              <w:spacing w:line="300" w:lineRule="auto"/>
              <w:ind w:left="3864" w:leftChars="234" w:hanging="3373" w:hangingChars="1400"/>
              <w:jc w:val="left"/>
              <w:textAlignment w:val="auto"/>
              <w:rPr>
                <w:b/>
                <w:sz w:val="24"/>
              </w:rPr>
            </w:pPr>
            <w:r>
              <w:rPr>
                <w:rFonts w:hint="eastAsia"/>
                <w:b/>
                <w:sz w:val="24"/>
              </w:rPr>
              <w:t>Hand protection：</w:t>
            </w:r>
            <w:r>
              <w:rPr>
                <w:b/>
                <w:sz w:val="24"/>
              </w:rPr>
              <w:tab/>
            </w:r>
          </w:p>
        </w:tc>
        <w:tc>
          <w:tcPr>
            <w:tcW w:w="6339" w:type="dxa"/>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jc w:val="left"/>
              <w:rPr>
                <w:rFonts w:hint="default" w:eastAsia="宋体"/>
                <w:b/>
                <w:sz w:val="22"/>
                <w:szCs w:val="22"/>
                <w:lang w:val="en-US" w:eastAsia="zh-CN"/>
              </w:rPr>
            </w:pPr>
            <w:r>
              <w:rPr>
                <w:rFonts w:eastAsia="宋体" w:cs="Arial"/>
                <w:b w:val="0"/>
                <w:bCs w:val="0"/>
                <w:kern w:val="0"/>
                <w:sz w:val="24"/>
                <w:szCs w:val="24"/>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ind w:left="479" w:leftChars="228" w:firstLine="0" w:firstLineChars="0"/>
              <w:jc w:val="left"/>
              <w:textAlignment w:val="auto"/>
              <w:rPr>
                <w:b/>
                <w:sz w:val="24"/>
              </w:rPr>
            </w:pPr>
            <w:r>
              <w:rPr>
                <w:rFonts w:hint="eastAsia"/>
                <w:b/>
                <w:sz w:val="24"/>
              </w:rPr>
              <w:t>Suitable material for protective gloves：</w:t>
            </w:r>
          </w:p>
        </w:tc>
        <w:tc>
          <w:tcPr>
            <w:tcW w:w="6339" w:type="dxa"/>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jc w:val="left"/>
              <w:rPr>
                <w:rFonts w:cs="Arial"/>
                <w:kern w:val="0"/>
                <w:sz w:val="22"/>
                <w:szCs w:val="22"/>
              </w:rPr>
            </w:pPr>
            <w:r>
              <w:rPr>
                <w:rFonts w:cs="Arial"/>
                <w:kern w:val="0"/>
                <w:sz w:val="24"/>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hint="eastAsia"/>
                <w:b/>
                <w:sz w:val="24"/>
              </w:rPr>
              <w:t>Fluororubber – FKM:</w:t>
            </w:r>
          </w:p>
        </w:tc>
        <w:tc>
          <w:tcPr>
            <w:tcW w:w="6339" w:type="dxa"/>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jc w:val="left"/>
              <w:rPr>
                <w:rFonts w:hint="eastAsia" w:hAnsi="Arial" w:cs="Arial"/>
                <w:kern w:val="0"/>
                <w:sz w:val="22"/>
                <w:szCs w:val="22"/>
              </w:rPr>
            </w:pPr>
            <w:r>
              <w:rPr>
                <w:rFonts w:eastAsia="宋体"/>
                <w:b w:val="0"/>
                <w:bCs w:val="0"/>
                <w:kern w:val="0"/>
                <w:sz w:val="24"/>
                <w:szCs w:val="24"/>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hint="eastAsia"/>
                <w:b/>
                <w:sz w:val="24"/>
              </w:rPr>
              <w:t>Butyl rubber – IIR：</w:t>
            </w:r>
          </w:p>
        </w:tc>
        <w:tc>
          <w:tcPr>
            <w:tcW w:w="6339" w:type="dxa"/>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jc w:val="left"/>
              <w:textAlignment w:val="auto"/>
              <w:rPr>
                <w:rFonts w:hint="eastAsia" w:hAnsi="Arial" w:cs="Arial"/>
                <w:kern w:val="0"/>
                <w:sz w:val="22"/>
                <w:szCs w:val="22"/>
              </w:rPr>
            </w:pPr>
            <w:r>
              <w:rPr>
                <w:rFonts w:eastAsia="宋体"/>
                <w:b w:val="0"/>
                <w:bCs w:val="0"/>
                <w:kern w:val="0"/>
                <w:sz w:val="24"/>
                <w:szCs w:val="24"/>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hint="eastAsia"/>
                <w:b/>
                <w:sz w:val="24"/>
              </w:rPr>
              <w:t>Nitrile rubber – NBR：</w:t>
            </w:r>
          </w:p>
        </w:tc>
        <w:tc>
          <w:tcPr>
            <w:tcW w:w="6339" w:type="dxa"/>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jc w:val="left"/>
              <w:rPr>
                <w:rFonts w:hint="eastAsia" w:hAnsi="Arial" w:cs="Arial"/>
                <w:kern w:val="0"/>
                <w:sz w:val="22"/>
                <w:szCs w:val="22"/>
              </w:rPr>
            </w:pPr>
            <w:r>
              <w:rPr>
                <w:rFonts w:eastAsia="宋体"/>
                <w:b w:val="0"/>
                <w:bCs w:val="0"/>
                <w:kern w:val="0"/>
                <w:sz w:val="24"/>
                <w:szCs w:val="24"/>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jc w:val="left"/>
              <w:textAlignment w:val="auto"/>
              <w:rPr>
                <w:b/>
                <w:sz w:val="24"/>
              </w:rPr>
            </w:pPr>
            <w:r>
              <w:rPr>
                <w:rFonts w:hint="eastAsia"/>
                <w:b/>
                <w:sz w:val="24"/>
              </w:rPr>
              <w:t>Recommendation:</w:t>
            </w:r>
          </w:p>
        </w:tc>
        <w:tc>
          <w:tcPr>
            <w:tcW w:w="6339" w:type="dxa"/>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jc w:val="left"/>
              <w:rPr>
                <w:b/>
                <w:sz w:val="22"/>
                <w:szCs w:val="22"/>
              </w:rPr>
            </w:pPr>
            <w:r>
              <w:rPr>
                <w:rFonts w:hint="eastAsia" w:hAnsi="Arial" w:eastAsia="宋体" w:cs="Arial"/>
                <w:b w:val="0"/>
                <w:bCs w:val="0"/>
                <w:kern w:val="0"/>
                <w:sz w:val="24"/>
                <w:szCs w:val="24"/>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Eye protection：</w:t>
            </w:r>
          </w:p>
        </w:tc>
        <w:tc>
          <w:tcPr>
            <w:tcW w:w="6339" w:type="dxa"/>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jc w:val="left"/>
              <w:rPr>
                <w:rFonts w:hint="eastAsia" w:hAnsi="Arial" w:cs="Arial"/>
                <w:kern w:val="0"/>
                <w:sz w:val="22"/>
                <w:szCs w:val="22"/>
              </w:rPr>
            </w:pPr>
            <w:r>
              <w:rPr>
                <w:rFonts w:eastAsia="宋体" w:cs="Arial"/>
                <w:b w:val="0"/>
                <w:bCs w:val="0"/>
                <w:kern w:val="0"/>
                <w:sz w:val="24"/>
                <w:szCs w:val="24"/>
              </w:rPr>
              <w:t>Wear safety goggles/face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Body protection：</w:t>
            </w:r>
          </w:p>
        </w:tc>
        <w:tc>
          <w:tcPr>
            <w:tcW w:w="6339" w:type="dxa"/>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2"/>
                <w:szCs w:val="22"/>
              </w:rPr>
            </w:pPr>
            <w:r>
              <w:rPr>
                <w:rFonts w:eastAsia="宋体" w:cs="Arial"/>
                <w:b w:val="0"/>
                <w:bCs w:val="0"/>
                <w:kern w:val="0"/>
                <w:sz w:val="24"/>
                <w:szCs w:val="24"/>
              </w:rPr>
              <w:t>Wear suitable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pPr>
            <w:r>
              <w:rPr>
                <w:rFonts w:hint="eastAsia" w:hAnsi="Arial" w:cs="Times New Roman"/>
                <w:b/>
                <w:kern w:val="2"/>
                <w:sz w:val="21"/>
                <w:szCs w:val="21"/>
                <w:lang w:val="en-US" w:eastAsia="zh-CN" w:bidi="ar-SA"/>
              </w:rPr>
              <w:t xml:space="preserve">8.2  </w:t>
            </w:r>
            <w:r>
              <w:rPr>
                <w:rFonts w:hint="eastAsia" w:hAnsi="Arial"/>
                <w:b/>
                <w:sz w:val="24"/>
                <w:lang w:val="en-US" w:eastAsia="zh-CN"/>
              </w:rPr>
              <w:t>Engineering controls：</w:t>
            </w:r>
          </w:p>
        </w:tc>
        <w:tc>
          <w:tcPr>
            <w:tcW w:w="6339" w:type="dxa"/>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jc w:val="left"/>
              <w:textAlignment w:val="auto"/>
              <w:rPr>
                <w:rFonts w:hint="default" w:hAnsi="Arial" w:cs="Times New Roman"/>
                <w:b/>
                <w:kern w:val="2"/>
                <w:sz w:val="22"/>
                <w:szCs w:val="22"/>
                <w:lang w:val="en-US" w:eastAsia="zh-CN" w:bidi="ar-SA"/>
              </w:rPr>
            </w:pPr>
            <w:r>
              <w:rPr>
                <w:rFonts w:hint="eastAsia" w:eastAsia="宋体" w:cs="Arial"/>
                <w:b w:val="0"/>
                <w:bCs w:val="0"/>
                <w:kern w:val="0"/>
                <w:sz w:val="24"/>
                <w:szCs w:val="24"/>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9.</w:t>
            </w:r>
            <w:r>
              <w:rPr>
                <w:b/>
                <w:sz w:val="24"/>
              </w:rPr>
              <w:t>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9.1</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Translucent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9.2</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 xml:space="preserve">Odour threshold：    </w:t>
            </w:r>
            <w:r>
              <w:rPr>
                <w:rFonts w:hint="eastAsia" w:ascii="Times New Roman" w:hAnsi="Times New Roman" w:eastAsia="宋体" w:cs="Times New Roman"/>
                <w:b/>
                <w:kern w:val="2"/>
                <w:sz w:val="21"/>
                <w:szCs w:val="21"/>
                <w:lang w:val="en-US" w:eastAsia="zh-CN" w:bidi="ar-SA"/>
              </w:rPr>
              <w:t xml:space="preserve">  </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9.3</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4-6</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9.4</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Cationic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9.5</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Approx. 100 °C</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9.6</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 xml:space="preserve">Flash point：   </w:t>
            </w:r>
            <w:r>
              <w:rPr>
                <w:rFonts w:hint="eastAsia" w:ascii="Times New Roman" w:hAnsi="Times New Roman" w:eastAsia="宋体" w:cs="Times New Roman"/>
                <w:b/>
                <w:kern w:val="2"/>
                <w:sz w:val="21"/>
                <w:szCs w:val="21"/>
                <w:lang w:val="en-US" w:eastAsia="zh-CN" w:bidi="ar-SA"/>
              </w:rPr>
              <w:t xml:space="preserve"> </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 flash point below the initial boiling point</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9.7</w:t>
            </w:r>
            <w:r>
              <w:rPr>
                <w:rFonts w:hint="eastAsia" w:ascii="Times New Roman" w:hAnsi="Times New Roman" w:eastAsia="宋体" w:cs="Times New Roman"/>
                <w:b/>
                <w:kern w:val="2"/>
                <w:sz w:val="21"/>
                <w:szCs w:val="21"/>
                <w:lang w:val="en-US" w:eastAsia="zh-CN" w:bidi="ar-SA"/>
              </w:rPr>
              <w:t xml:space="preserve">  </w:t>
            </w:r>
            <w:r>
              <w:rPr>
                <w:rFonts w:hint="eastAsia" w:hAnsi="Arial"/>
                <w:b/>
                <w:sz w:val="24"/>
                <w:lang w:val="en-US" w:eastAsia="zh-CN"/>
              </w:rPr>
              <w:t xml:space="preserve">Evaporation rate：    </w:t>
            </w:r>
            <w:r>
              <w:rPr>
                <w:rFonts w:hint="eastAsia" w:ascii="Times New Roman" w:hAnsi="Times New Roman" w:eastAsia="宋体" w:cs="Times New Roman"/>
                <w:b/>
                <w:kern w:val="2"/>
                <w:sz w:val="21"/>
                <w:szCs w:val="21"/>
                <w:lang w:val="en-US" w:eastAsia="zh-CN" w:bidi="ar-SA"/>
              </w:rPr>
              <w:t xml:space="preserve"> </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Not applicable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eastAsia="宋体" w:cs="Times New Roman"/>
                <w:b/>
                <w:bCs/>
                <w:kern w:val="2"/>
                <w:sz w:val="21"/>
                <w:szCs w:val="21"/>
                <w:lang w:val="en-US" w:eastAsia="zh-CN" w:bidi="ar-SA"/>
              </w:rPr>
              <w:t xml:space="preserve">9.8  </w:t>
            </w:r>
            <w:r>
              <w:rPr>
                <w:rFonts w:hint="eastAsia" w:ascii="Times New Roman" w:hAnsi="Times New Roman" w:eastAsia="宋体" w:cs="Times New Roman"/>
                <w:b/>
                <w:bCs/>
                <w:kern w:val="2"/>
                <w:sz w:val="24"/>
                <w:szCs w:val="24"/>
                <w:lang w:val="en-US" w:eastAsia="zh-CN" w:bidi="ar-SA"/>
              </w:rPr>
              <w:t>Fl</w:t>
            </w:r>
            <w:r>
              <w:rPr>
                <w:rFonts w:hint="eastAsia" w:eastAsia="宋体" w:cs="Times New Roman"/>
                <w:b/>
                <w:bCs/>
                <w:kern w:val="2"/>
                <w:sz w:val="24"/>
                <w:szCs w:val="24"/>
                <w:lang w:val="en-US" w:eastAsia="zh-CN" w:bidi="ar-SA"/>
              </w:rPr>
              <w:t>am</w:t>
            </w:r>
            <w:r>
              <w:rPr>
                <w:rFonts w:hint="eastAsia" w:hAnsi="Arial" w:eastAsia="宋体"/>
                <w:b/>
                <w:bCs/>
                <w:sz w:val="24"/>
                <w:szCs w:val="24"/>
                <w:lang w:val="en-US" w:eastAsia="zh-CN"/>
              </w:rPr>
              <w:t>mability (solid, gas):</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eastAsia="宋体" w:cs="Times New Roman"/>
                <w:b/>
                <w:bCs/>
                <w:kern w:val="2"/>
                <w:sz w:val="21"/>
                <w:szCs w:val="21"/>
                <w:lang w:val="en-US" w:eastAsia="zh-CN" w:bidi="ar-SA"/>
              </w:rPr>
              <w:t>9.9</w:t>
            </w:r>
            <w:r>
              <w:rPr>
                <w:rFonts w:hint="eastAsia" w:hAnsi="Arial" w:eastAsia="宋体"/>
                <w:b/>
                <w:bCs/>
                <w:sz w:val="24"/>
                <w:szCs w:val="24"/>
                <w:lang w:val="en-US" w:eastAsia="zh-CN"/>
              </w:rPr>
              <w:t xml:space="preserve">  Combustibility:</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leftChars="0" w:hanging="632" w:hangingChars="300"/>
              <w:jc w:val="left"/>
              <w:textAlignment w:val="auto"/>
              <w:rPr>
                <w:rFonts w:hint="eastAsia" w:hAnsi="Arial"/>
                <w:b/>
                <w:sz w:val="24"/>
                <w:lang w:val="en-US" w:eastAsia="zh-CN"/>
              </w:rPr>
            </w:pPr>
            <w:r>
              <w:rPr>
                <w:rFonts w:hint="eastAsia" w:hAnsi="Arial" w:eastAsia="宋体" w:cs="Times New Roman"/>
                <w:b/>
                <w:bCs/>
                <w:kern w:val="2"/>
                <w:sz w:val="21"/>
                <w:szCs w:val="21"/>
                <w:lang w:val="en-US" w:eastAsia="zh-CN" w:bidi="ar-SA"/>
              </w:rPr>
              <w:t>9.10</w:t>
            </w:r>
            <w:r>
              <w:rPr>
                <w:rFonts w:hint="eastAsia" w:hAnsi="Arial" w:eastAsia="宋体" w:cs="Times New Roman"/>
                <w:b/>
                <w:bCs/>
                <w:kern w:val="2"/>
                <w:sz w:val="24"/>
                <w:szCs w:val="24"/>
                <w:lang w:val="en-US" w:eastAsia="zh-CN" w:bidi="ar-SA"/>
              </w:rPr>
              <w:t xml:space="preserve"> </w:t>
            </w:r>
            <w:r>
              <w:rPr>
                <w:rFonts w:hint="eastAsia" w:hAnsi="Arial" w:eastAsia="宋体"/>
                <w:b/>
                <w:bCs/>
                <w:sz w:val="24"/>
                <w:szCs w:val="24"/>
                <w:lang w:val="en-US" w:eastAsia="zh-CN"/>
              </w:rPr>
              <w:t>Relative vapour</w:t>
            </w:r>
          </w:p>
          <w:p w14:paraId="688290F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rFonts w:hint="eastAsia" w:ascii="Times New Roman" w:hAnsi="Times New Roman" w:eastAsia="宋体" w:cs="Times New Roman"/>
                <w:b/>
                <w:kern w:val="2"/>
                <w:sz w:val="21"/>
                <w:szCs w:val="21"/>
                <w:lang w:val="en-US" w:eastAsia="zh-CN" w:bidi="ar-SA"/>
              </w:rPr>
            </w:pPr>
            <w:r>
              <w:rPr>
                <w:rFonts w:hint="eastAsia" w:hAnsi="Arial" w:eastAsia="宋体"/>
                <w:b/>
                <w:bCs/>
                <w:sz w:val="24"/>
                <w:szCs w:val="24"/>
                <w:lang w:val="en-US" w:eastAsia="zh-CN"/>
              </w:rPr>
              <w:t xml:space="preserve"> density:</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Not applicable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9.11</w:t>
            </w:r>
            <w:r>
              <w:rPr>
                <w:rFonts w:hint="eastAsia" w:hAnsi="Arial" w:cs="Times New Roman"/>
                <w:b/>
                <w:kern w:val="2"/>
                <w:sz w:val="52"/>
                <w:szCs w:val="52"/>
                <w:lang w:val="en-US" w:eastAsia="zh-CN" w:bidi="ar-SA"/>
              </w:rPr>
              <w:t xml:space="preserve"> </w:t>
            </w:r>
            <w:r>
              <w:rPr>
                <w:rFonts w:hint="eastAsia" w:hAnsi="Arial"/>
                <w:b/>
                <w:sz w:val="24"/>
                <w:lang w:val="en-US" w:eastAsia="zh-CN"/>
              </w:rPr>
              <w:t xml:space="preserve">Density：   </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Not applicable</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eastAsia="宋体" w:cs="Times New Roman"/>
                <w:b/>
                <w:bCs/>
                <w:kern w:val="2"/>
                <w:sz w:val="21"/>
                <w:szCs w:val="21"/>
                <w:lang w:val="en-US" w:eastAsia="zh-CN" w:bidi="ar-SA"/>
              </w:rPr>
              <w:t>9.12</w:t>
            </w:r>
            <w:r>
              <w:rPr>
                <w:rFonts w:hint="eastAsia" w:hAnsi="Arial" w:eastAsia="宋体" w:cs="Times New Roman"/>
                <w:b/>
                <w:bCs/>
                <w:kern w:val="2"/>
                <w:sz w:val="24"/>
                <w:szCs w:val="24"/>
                <w:lang w:val="en-US" w:eastAsia="zh-CN" w:bidi="ar-SA"/>
              </w:rPr>
              <w:t xml:space="preserve"> </w:t>
            </w:r>
            <w:r>
              <w:rPr>
                <w:rFonts w:hint="eastAsia" w:hAnsi="Arial" w:eastAsia="宋体"/>
                <w:b/>
                <w:bCs/>
                <w:sz w:val="24"/>
                <w:szCs w:val="24"/>
                <w:lang w:val="en-US" w:eastAsia="zh-CN"/>
              </w:rPr>
              <w:t>Water solubility:</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eastAsia="宋体" w:cs="Times New Roman"/>
                <w:b/>
                <w:bCs/>
                <w:kern w:val="2"/>
                <w:sz w:val="21"/>
                <w:szCs w:val="21"/>
                <w:lang w:val="en-US" w:eastAsia="zh-CN" w:bidi="ar-SA"/>
              </w:rPr>
              <w:t>9.13</w:t>
            </w:r>
            <w:r>
              <w:rPr>
                <w:rFonts w:hint="eastAsia" w:hAnsi="Arial" w:eastAsia="宋体" w:cs="Times New Roman"/>
                <w:b/>
                <w:bCs/>
                <w:kern w:val="2"/>
                <w:sz w:val="24"/>
                <w:szCs w:val="24"/>
                <w:lang w:val="en-US" w:eastAsia="zh-CN" w:bidi="ar-SA"/>
              </w:rPr>
              <w:t xml:space="preserve"> </w:t>
            </w:r>
            <w:r>
              <w:rPr>
                <w:rFonts w:hint="eastAsia" w:hAnsi="Arial" w:eastAsia="宋体"/>
                <w:b/>
                <w:bCs/>
                <w:sz w:val="24"/>
                <w:szCs w:val="24"/>
                <w:lang w:val="en-US" w:eastAsia="zh-CN"/>
              </w:rPr>
              <w:t>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hAnsi="Arial"/>
                <w:b/>
                <w:sz w:val="24"/>
                <w:lang w:val="en-US" w:eastAsia="zh-CN"/>
              </w:rPr>
            </w:pPr>
            <w:r>
              <w:rPr>
                <w:rFonts w:hint="eastAsia" w:hAnsi="Arial" w:eastAsia="宋体" w:cs="Times New Roman"/>
                <w:b/>
                <w:bCs/>
                <w:kern w:val="2"/>
                <w:sz w:val="21"/>
                <w:szCs w:val="21"/>
                <w:lang w:val="en-US" w:eastAsia="zh-CN" w:bidi="ar-SA"/>
              </w:rPr>
              <w:t>9.14</w:t>
            </w:r>
            <w:r>
              <w:rPr>
                <w:rFonts w:hint="eastAsia" w:hAnsi="Arial" w:eastAsia="宋体" w:cs="Times New Roman"/>
                <w:b/>
                <w:bCs/>
                <w:kern w:val="2"/>
                <w:sz w:val="24"/>
                <w:szCs w:val="24"/>
                <w:lang w:val="en-US" w:eastAsia="zh-CN" w:bidi="ar-SA"/>
              </w:rPr>
              <w:t xml:space="preserve"> </w:t>
            </w:r>
            <w:r>
              <w:rPr>
                <w:rFonts w:hint="eastAsia" w:hAnsi="Arial" w:eastAsia="宋体"/>
                <w:b/>
                <w:bCs/>
                <w:sz w:val="24"/>
                <w:szCs w:val="24"/>
                <w:lang w:val="en-US" w:eastAsia="zh-CN"/>
              </w:rPr>
              <w:t>Logarithm of the octanol/wa</w:t>
            </w:r>
          </w:p>
          <w:p w14:paraId="7082A74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int="eastAsia" w:hAnsi="Arial" w:eastAsia="宋体"/>
                <w:b/>
                <w:bCs/>
                <w:sz w:val="24"/>
                <w:szCs w:val="24"/>
                <w:lang w:val="en-US" w:eastAsia="zh-CN"/>
              </w:rPr>
              <w:t>ter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hAnsi="Arial"/>
                <w:b/>
                <w:sz w:val="24"/>
                <w:lang w:val="en-US" w:eastAsia="zh-CN"/>
              </w:rPr>
            </w:pPr>
            <w:r>
              <w:rPr>
                <w:rFonts w:hint="eastAsia" w:hAnsi="Arial" w:cs="Times New Roman"/>
                <w:b/>
                <w:kern w:val="2"/>
                <w:sz w:val="21"/>
                <w:szCs w:val="21"/>
                <w:lang w:val="en-US" w:eastAsia="zh-CN" w:bidi="ar-SA"/>
              </w:rPr>
              <w:t>9.15</w:t>
            </w:r>
            <w:r>
              <w:rPr>
                <w:rFonts w:hint="eastAsia" w:hAnsi="Arial" w:cs="Times New Roman"/>
                <w:b/>
                <w:kern w:val="2"/>
                <w:sz w:val="52"/>
                <w:szCs w:val="52"/>
                <w:lang w:val="en-US" w:eastAsia="zh-CN" w:bidi="ar-SA"/>
              </w:rPr>
              <w:t xml:space="preserve"> </w:t>
            </w:r>
            <w:r>
              <w:rPr>
                <w:rFonts w:hint="eastAsia" w:hAnsi="Arial"/>
                <w:b/>
                <w:sz w:val="24"/>
                <w:lang w:val="en-US" w:eastAsia="zh-CN"/>
              </w:rPr>
              <w:t>Auto-ignition</w:t>
            </w:r>
          </w:p>
          <w:p w14:paraId="1AFB09C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int="eastAsia" w:hAnsi="Arial"/>
                <w:b/>
                <w:sz w:val="24"/>
                <w:lang w:val="en-US" w:eastAsia="zh-CN"/>
              </w:rPr>
              <w:t>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9.16</w:t>
            </w:r>
            <w:r>
              <w:rPr>
                <w:rFonts w:hint="eastAsia" w:hAnsi="Arial" w:cs="Times New Roman"/>
                <w:b/>
                <w:kern w:val="2"/>
                <w:sz w:val="52"/>
                <w:szCs w:val="52"/>
                <w:lang w:val="en-US" w:eastAsia="zh-CN" w:bidi="ar-SA"/>
              </w:rPr>
              <w:t xml:space="preserve"> </w:t>
            </w:r>
            <w:r>
              <w:rPr>
                <w:rFonts w:hint="eastAsia" w:hAnsi="Arial"/>
                <w:b/>
                <w:sz w:val="24"/>
                <w:lang w:val="en-US" w:eastAsia="zh-CN"/>
              </w:rPr>
              <w:t>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eastAsia="宋体" w:cs="Arial"/>
                <w:b w:val="0"/>
                <w:bCs w:val="0"/>
                <w:kern w:val="0"/>
                <w:sz w:val="24"/>
                <w:szCs w:val="24"/>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9.17</w:t>
            </w:r>
            <w:r>
              <w:rPr>
                <w:rFonts w:hint="eastAsia" w:hAnsi="Arial" w:cs="Times New Roman"/>
                <w:b/>
                <w:kern w:val="2"/>
                <w:sz w:val="52"/>
                <w:szCs w:val="52"/>
                <w:lang w:val="en-US" w:eastAsia="zh-CN" w:bidi="ar-SA"/>
              </w:rPr>
              <w:t xml:space="preserve"> </w:t>
            </w:r>
            <w:r>
              <w:rPr>
                <w:rFonts w:hint="eastAsia" w:hAnsi="Arial"/>
                <w:b/>
                <w:sz w:val="24"/>
                <w:lang w:val="en-US" w:eastAsia="zh-CN"/>
              </w:rPr>
              <w:t>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&lt; 1,000 mPa·s</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9.18</w:t>
            </w:r>
            <w:r>
              <w:rPr>
                <w:rFonts w:hint="eastAsia" w:hAnsi="Arial" w:cs="Times New Roman"/>
                <w:b/>
                <w:kern w:val="2"/>
                <w:sz w:val="52"/>
                <w:szCs w:val="52"/>
                <w:lang w:val="en-US" w:eastAsia="zh-CN" w:bidi="ar-SA"/>
              </w:rPr>
              <w:t xml:space="preserve"> </w:t>
            </w:r>
            <w:r>
              <w:rPr>
                <w:rFonts w:hint="eastAsia" w:hAnsi="Arial"/>
                <w:b/>
                <w:sz w:val="24"/>
                <w:lang w:val="en-US" w:eastAsia="zh-CN"/>
              </w:rPr>
              <w:t>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33±2%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rFonts w:hint="eastAsia" w:ascii="Times New Roman" w:hAnsi="Times New Roman" w:eastAsia="宋体" w:cs="Times New Roman"/>
                <w:b/>
                <w:kern w:val="2"/>
                <w:sz w:val="21"/>
                <w:szCs w:val="21"/>
                <w:lang w:val="en-US" w:eastAsia="zh-CN" w:bidi="ar-SA"/>
              </w:rPr>
            </w:pPr>
            <w:r>
              <w:rPr>
                <w:rFonts w:hint="eastAsia" w:hAnsi="Arial" w:cs="Times New Roman"/>
                <w:b/>
                <w:kern w:val="2"/>
                <w:sz w:val="21"/>
                <w:szCs w:val="21"/>
                <w:lang w:val="en-US" w:eastAsia="zh-CN" w:bidi="ar-SA"/>
              </w:rPr>
              <w:t>9.19</w:t>
            </w:r>
            <w:r>
              <w:rPr>
                <w:rFonts w:hint="eastAsia" w:hAnsi="Arial" w:cs="Times New Roman"/>
                <w:b/>
                <w:kern w:val="2"/>
                <w:sz w:val="52"/>
                <w:szCs w:val="52"/>
                <w:lang w:val="en-US" w:eastAsia="zh-CN" w:bidi="ar-SA"/>
              </w:rPr>
              <w:t xml:space="preserve"> </w:t>
            </w:r>
            <w:r>
              <w:rPr>
                <w:rFonts w:hint="eastAsia" w:hAnsi="Arial"/>
                <w:b/>
                <w:sz w:val="24"/>
                <w:lang w:val="en-US" w:eastAsia="zh-CN"/>
              </w:rPr>
              <w:t>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The above data are not product specifications. For product specifications, please refer to the product technical data sheet.</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10.</w:t>
            </w:r>
            <w:r>
              <w:rPr>
                <w:b/>
                <w:sz w:val="24"/>
              </w:rPr>
              <w:t>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sz w:val="24"/>
              </w:rPr>
            </w:pPr>
            <w:r>
              <w:rPr>
                <w:rFonts w:hint="eastAsia" w:hAnsi="Arial" w:cs="Times New Roman"/>
                <w:b/>
                <w:kern w:val="2"/>
                <w:sz w:val="21"/>
                <w:szCs w:val="21"/>
                <w:lang w:val="en-US" w:eastAsia="zh-CN" w:bidi="ar-SA"/>
              </w:rPr>
              <w:t>10.1</w:t>
            </w:r>
            <w:r>
              <w:rPr>
                <w:rFonts w:hint="eastAsia" w:hAnsi="Arial" w:cs="Times New Roman"/>
                <w:b/>
                <w:kern w:val="2"/>
                <w:sz w:val="52"/>
                <w:szCs w:val="52"/>
                <w:lang w:val="en-US" w:eastAsia="zh-CN" w:bidi="ar-SA"/>
              </w:rPr>
              <w:t xml:space="preserve"> </w:t>
            </w:r>
            <w:r>
              <w:rPr>
                <w:rFonts w:hint="eastAsia" w:hAnsi="Arial"/>
                <w:b/>
                <w:sz w:val="24"/>
              </w:rPr>
              <w:t>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 decomposition occurs when used as specified.</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eastAsia" w:hAnsi="Arial" w:cs="Times New Roman"/>
                <w:b/>
                <w:kern w:val="2"/>
                <w:sz w:val="21"/>
                <w:szCs w:val="21"/>
                <w:lang w:val="en-US" w:eastAsia="zh-CN" w:bidi="ar-SA"/>
              </w:rPr>
              <w:t>10.2</w:t>
            </w:r>
            <w:r>
              <w:rPr>
                <w:rFonts w:hint="eastAsia" w:hAnsi="Arial" w:cs="Times New Roman"/>
                <w:b/>
                <w:kern w:val="2"/>
                <w:sz w:val="52"/>
                <w:szCs w:val="52"/>
                <w:lang w:val="en-US" w:eastAsia="zh-CN" w:bidi="ar-SA"/>
              </w:rPr>
              <w:t xml:space="preserve"> </w:t>
            </w:r>
            <w:r>
              <w:rPr>
                <w:rFonts w:hint="eastAsia" w:hAnsi="Arial"/>
                <w:b/>
                <w:sz w:val="24"/>
              </w:rPr>
              <w:t>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eastAsia="zh-CN"/>
              </w:rPr>
            </w:pPr>
            <w:r>
              <w:rPr>
                <w:rFonts w:hint="eastAsia" w:eastAsia="宋体" w:cs="Arial"/>
                <w:b w:val="0"/>
                <w:bCs w:val="0"/>
                <w:kern w:val="0"/>
                <w:sz w:val="24"/>
                <w:szCs w:val="24"/>
              </w:rPr>
              <w:t>Flammable and harmful gases are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eastAsia" w:hAnsi="Arial" w:cs="Times New Roman"/>
                <w:b/>
                <w:kern w:val="2"/>
                <w:sz w:val="21"/>
                <w:szCs w:val="21"/>
                <w:lang w:val="en-US" w:eastAsia="zh-CN" w:bidi="ar-SA"/>
              </w:rPr>
              <w:t>10.3</w:t>
            </w:r>
            <w:r>
              <w:rPr>
                <w:rFonts w:hint="eastAsia" w:hAnsi="Arial" w:cs="Times New Roman"/>
                <w:b/>
                <w:kern w:val="2"/>
                <w:sz w:val="52"/>
                <w:szCs w:val="52"/>
                <w:lang w:val="en-US" w:eastAsia="zh-CN" w:bidi="ar-SA"/>
              </w:rPr>
              <w:t xml:space="preserve"> </w:t>
            </w:r>
            <w:r>
              <w:rPr>
                <w:rFonts w:hint="eastAsia" w:hAnsi="Arial"/>
                <w:b/>
                <w:sz w:val="24"/>
              </w:rPr>
              <w:t>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eastAsia="宋体" w:cs="Arial"/>
                <w:b w:val="0"/>
                <w:bCs w:val="0"/>
                <w:kern w:val="0"/>
                <w:sz w:val="24"/>
                <w:szCs w:val="24"/>
              </w:rPr>
              <w:t>No hazardous reactions occur when stored or handled properly.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11.</w:t>
            </w:r>
            <w:r>
              <w:rPr>
                <w:b/>
                <w:sz w:val="24"/>
              </w:rPr>
              <w:t>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85" w:hRule="atLeast"/>
        </w:trPr>
        <w:tc>
          <w:tcPr>
            <w:tcW w:w="9781" w:type="dxa"/>
            <w:gridSpan w:val="4"/>
            <w:tcBorders>
              <w:top w:val="single" w:color="auto" w:sz="4" w:space="0"/>
              <w:bottom w:val="dotted" w:color="auto" w:sz="4" w:space="0"/>
            </w:tcBorders>
          </w:tcPr>
          <w:p w14:paraId="22A157D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eastAsia="宋体" w:cs="Arial"/>
                <w:b w:val="0"/>
                <w:bCs w:val="0"/>
                <w:kern w:val="0"/>
                <w:sz w:val="24"/>
                <w:szCs w:val="24"/>
                <w:lang w:val="en-US" w:eastAsia="zh-CN"/>
              </w:rPr>
              <w:t>No toxicological studies are available for this product.</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11.1</w:t>
            </w:r>
            <w:r>
              <w:rPr>
                <w:rFonts w:hint="eastAsia" w:hAnsi="Arial" w:cs="Times New Roman"/>
                <w:b/>
                <w:kern w:val="2"/>
                <w:sz w:val="52"/>
                <w:szCs w:val="52"/>
                <w:lang w:val="en-US" w:eastAsia="zh-CN" w:bidi="ar-SA"/>
              </w:rPr>
              <w:t xml:space="preserve"> </w:t>
            </w:r>
            <w:r>
              <w:rPr>
                <w:rFonts w:hint="eastAsia" w:hAnsi="Arial"/>
                <w:b/>
                <w:sz w:val="24"/>
              </w:rPr>
              <w:t>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default" w:ascii="宋体" w:hAnsi="宋体" w:eastAsia="宋体" w:cs="宋体"/>
                <w:b/>
                <w:bCs/>
                <w:sz w:val="24"/>
                <w:szCs w:val="24"/>
                <w:lang w:val="en-US" w:eastAsia="zh-CN"/>
              </w:rPr>
            </w:pPr>
            <w:r>
              <w:rPr>
                <w:rFonts w:hint="eastAsia" w:hAnsi="Arial"/>
                <w:b/>
                <w:sz w:val="24"/>
              </w:rPr>
              <w:t>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Median lethal dose (LD₅₀), rat: &gt; 2,000 mg/kg</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423</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Toxicological study of a similar product</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eastAsia"/>
                <w:b/>
                <w:bCs/>
                <w:sz w:val="24"/>
                <w:lang w:val="en-US" w:eastAsia="zh-CN"/>
              </w:rPr>
            </w:pPr>
            <w:r>
              <w:rPr>
                <w:rFonts w:hint="eastAsia" w:hAnsi="Arial"/>
                <w:b/>
                <w:sz w:val="24"/>
              </w:rPr>
              <w:t>Inhalatio</w:t>
            </w:r>
            <w:r>
              <w:rPr>
                <w:rFonts w:hint="eastAsia" w:hAnsi="Arial"/>
                <w:b/>
                <w:sz w:val="24"/>
                <w:lang w:val="en-US" w:eastAsia="zh-CN"/>
              </w:rPr>
              <w:t>n</w:t>
            </w:r>
            <w:r>
              <w:rPr>
                <w:rFonts w:hint="eastAsia" w:hAnsi="Arial"/>
                <w:b/>
                <w:sz w:val="24"/>
              </w:rPr>
              <w:t>:</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Test atmosphere: dust/mist</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Assessment: This substance or mixture is not acutely toxic by inhalation.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403</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eastAsia"/>
                <w:b/>
                <w:bCs/>
                <w:sz w:val="24"/>
                <w:lang w:val="en-US" w:eastAsia="zh-CN"/>
              </w:rPr>
            </w:pPr>
            <w:r>
              <w:rPr>
                <w:rFonts w:hint="eastAsia" w:hAnsi="Arial"/>
                <w:b/>
                <w:sz w:val="24"/>
              </w:rPr>
              <w:t>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Assessment: This substance or mixture is not acutely toxic via the dermal route.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80" w:leftChars="16" w:hanging="646" w:hangingChars="268"/>
              <w:jc w:val="left"/>
              <w:textAlignment w:val="auto"/>
              <w:rPr>
                <w:b/>
                <w:sz w:val="24"/>
              </w:rPr>
            </w:pPr>
            <w:r>
              <w:rPr>
                <w:rFonts w:hint="eastAsia" w:hAnsi="Arial" w:eastAsia="宋体" w:cs="Times New Roman"/>
                <w:b/>
                <w:bCs/>
                <w:kern w:val="2"/>
                <w:sz w:val="24"/>
                <w:szCs w:val="24"/>
                <w:lang w:val="en-US" w:eastAsia="zh-CN" w:bidi="ar-SA"/>
              </w:rPr>
              <w:t>11.2  Sub</w:t>
            </w:r>
            <w:r>
              <w:rPr>
                <w:rFonts w:hint="eastAsia" w:hAnsi="Arial" w:eastAsia="宋体"/>
                <w:b/>
                <w:bCs/>
                <w:sz w:val="24"/>
                <w:szCs w:val="24"/>
              </w:rPr>
              <w:t>acute, subchronic, and delayed toxicity:</w:t>
            </w:r>
          </w:p>
        </w:tc>
        <w:tc>
          <w:tcPr>
            <w:tcW w:w="6262" w:type="dxa"/>
            <w:gridSpan w:val="3"/>
            <w:tcBorders>
              <w:top w:val="dotted" w:color="auto" w:sz="4" w:space="0"/>
              <w:left w:val="dotted" w:color="auto" w:sz="4" w:space="0"/>
              <w:bottom w:val="dotted" w:color="auto" w:sz="4" w:space="0"/>
            </w:tcBorders>
            <w:vAlign w:val="center"/>
          </w:tcPr>
          <w:p w14:paraId="60502DE4">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No data available.</w:t>
            </w:r>
          </w:p>
        </w:tc>
      </w:tr>
      <w:tr w14:paraId="602037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2CD333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eastAsia="宋体" w:cs="Times New Roman"/>
                <w:b/>
                <w:bCs/>
                <w:kern w:val="2"/>
                <w:sz w:val="21"/>
                <w:szCs w:val="21"/>
                <w:lang w:val="en-US" w:eastAsia="zh-CN" w:bidi="ar-SA"/>
              </w:rPr>
              <w:t>11.3</w:t>
            </w:r>
            <w:r>
              <w:rPr>
                <w:rFonts w:hint="eastAsia" w:hAnsi="Arial" w:eastAsia="宋体" w:cs="Times New Roman"/>
                <w:b/>
                <w:bCs/>
                <w:kern w:val="2"/>
                <w:sz w:val="24"/>
                <w:szCs w:val="24"/>
                <w:lang w:val="en-US" w:eastAsia="zh-CN" w:bidi="ar-SA"/>
              </w:rPr>
              <w:t xml:space="preserve"> </w:t>
            </w:r>
            <w:r>
              <w:rPr>
                <w:rFonts w:hint="eastAsia" w:hAnsi="Arial" w:eastAsia="宋体"/>
                <w:b/>
                <w:bCs/>
                <w:sz w:val="24"/>
                <w:szCs w:val="24"/>
              </w:rPr>
              <w:t xml:space="preserve"> Primary skin irritation:</w:t>
            </w:r>
          </w:p>
        </w:tc>
        <w:tc>
          <w:tcPr>
            <w:tcW w:w="6262" w:type="dxa"/>
            <w:gridSpan w:val="3"/>
            <w:tcBorders>
              <w:top w:val="dotted" w:color="auto" w:sz="4" w:space="0"/>
              <w:left w:val="dotted" w:color="auto" w:sz="4" w:space="0"/>
              <w:bottom w:val="dotted" w:color="auto" w:sz="4" w:space="0"/>
            </w:tcBorders>
            <w:vAlign w:val="center"/>
          </w:tcPr>
          <w:p w14:paraId="13B7A35C">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Species: rabbit</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Result: Slight irritation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Classification: Not irritating to skin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404</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eastAsia="宋体" w:cs="Times New Roman"/>
                <w:b/>
                <w:bCs/>
                <w:kern w:val="2"/>
                <w:sz w:val="21"/>
                <w:szCs w:val="21"/>
                <w:lang w:val="en-US" w:eastAsia="zh-CN" w:bidi="ar-SA"/>
              </w:rPr>
              <w:t xml:space="preserve">11.4  </w:t>
            </w:r>
            <w:r>
              <w:rPr>
                <w:rFonts w:hint="eastAsia" w:hAnsi="Arial" w:eastAsia="宋体" w:cs="Times New Roman"/>
                <w:b/>
                <w:bCs/>
                <w:kern w:val="2"/>
                <w:sz w:val="24"/>
                <w:szCs w:val="24"/>
                <w:lang w:val="en-US" w:eastAsia="zh-CN" w:bidi="ar-SA"/>
              </w:rPr>
              <w:t>P</w:t>
            </w:r>
            <w:r>
              <w:rPr>
                <w:rFonts w:hint="eastAsia" w:hAnsi="Arial" w:eastAsia="宋体"/>
                <w:b/>
                <w:bCs/>
                <w:sz w:val="24"/>
                <w:szCs w:val="24"/>
              </w:rPr>
              <w:t>rimary mucous membrane irritation:</w:t>
            </w:r>
          </w:p>
        </w:tc>
        <w:tc>
          <w:tcPr>
            <w:tcW w:w="6262" w:type="dxa"/>
            <w:gridSpan w:val="3"/>
            <w:tcBorders>
              <w:top w:val="dotted" w:color="auto" w:sz="4" w:space="0"/>
              <w:left w:val="dotted" w:color="auto" w:sz="4" w:space="0"/>
              <w:bottom w:val="dotted" w:color="auto" w:sz="4" w:space="0"/>
            </w:tcBorders>
            <w:vAlign w:val="center"/>
          </w:tcPr>
          <w:p w14:paraId="766A010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Species: rabbit</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Result: Slight irritation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Classification: Not irritating to eyes</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405</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169"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11.5</w:t>
            </w:r>
            <w:r>
              <w:rPr>
                <w:rFonts w:hint="eastAsia" w:hAnsi="Arial" w:cs="Times New Roman"/>
                <w:b/>
                <w:kern w:val="2"/>
                <w:sz w:val="52"/>
                <w:szCs w:val="52"/>
                <w:lang w:val="en-US" w:eastAsia="zh-CN" w:bidi="ar-SA"/>
              </w:rPr>
              <w:t xml:space="preserve"> </w:t>
            </w:r>
            <w:r>
              <w:rPr>
                <w:rFonts w:hint="eastAsia" w:hAnsi="Arial"/>
                <w:b/>
                <w:sz w:val="24"/>
              </w:rPr>
              <w:t>Sensitization：</w:t>
            </w:r>
          </w:p>
        </w:tc>
        <w:tc>
          <w:tcPr>
            <w:tcW w:w="6262" w:type="dxa"/>
            <w:gridSpan w:val="3"/>
            <w:tcBorders>
              <w:top w:val="dotted" w:color="auto" w:sz="4" w:space="0"/>
              <w:left w:val="dotted" w:color="auto" w:sz="4" w:space="0"/>
              <w:bottom w:val="dotted" w:color="auto" w:sz="4" w:space="0"/>
            </w:tcBorders>
            <w:vAlign w:val="center"/>
          </w:tcPr>
          <w:p w14:paraId="4FBF7DC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b w:val="0"/>
                <w:bCs w:val="0"/>
                <w:sz w:val="24"/>
                <w:szCs w:val="24"/>
                <w:lang w:val="en-US" w:eastAsia="zh-CN"/>
              </w:rPr>
              <w:t>Sensitisation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Skin sensitisation according to the Buehler test (dermal):</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Species: guinea pig</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Result: Negative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Classification: Not a skin sensitiser</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406</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Skin sensitisation (local lymph node assay, LLNA)</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Species: mouse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Result: Negative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Classification: Not a skin sensitiser</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429</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eastAsia="宋体" w:cs="Times New Roman"/>
                <w:b/>
                <w:bCs/>
                <w:kern w:val="2"/>
                <w:sz w:val="21"/>
                <w:szCs w:val="21"/>
                <w:lang w:val="en-US" w:eastAsia="zh-CN" w:bidi="ar-SA"/>
              </w:rPr>
              <w:t xml:space="preserve">11.6  </w:t>
            </w:r>
            <w:r>
              <w:rPr>
                <w:rFonts w:hint="eastAsia" w:hAnsi="Arial" w:eastAsia="宋体" w:cs="Times New Roman"/>
                <w:b/>
                <w:bCs/>
                <w:kern w:val="2"/>
                <w:sz w:val="24"/>
                <w:szCs w:val="24"/>
                <w:lang w:val="en-US" w:eastAsia="zh-CN" w:bidi="ar-SA"/>
              </w:rPr>
              <w:t>In</w:t>
            </w:r>
            <w:r>
              <w:rPr>
                <w:rFonts w:hint="eastAsia" w:hAnsi="Arial" w:eastAsia="宋体"/>
                <w:b/>
                <w:bCs/>
                <w:sz w:val="24"/>
                <w:szCs w:val="24"/>
              </w:rPr>
              <w:t xml:space="preserve"> vitro genotoxicity: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ind w:left="0" w:leftChars="0" w:right="0"/>
              <w:jc w:val="left"/>
              <w:textAlignment w:val="auto"/>
              <w:rPr>
                <w:rFonts w:hint="default" w:hAnsi="Arial"/>
                <w:sz w:val="24"/>
                <w:szCs w:val="24"/>
                <w:lang w:val="en-US" w:eastAsia="zh-CN"/>
              </w:rPr>
            </w:pPr>
            <w:r>
              <w:rPr>
                <w:rFonts w:ascii="宋体" w:hAnsi="宋体" w:eastAsia="宋体" w:cs="宋体"/>
                <w:b w:val="0"/>
                <w:bCs w:val="0"/>
                <w:sz w:val="24"/>
                <w:szCs w:val="24"/>
              </w:rPr>
              <w:t>Polyurethane dispersion</w:t>
            </w:r>
            <w:r>
              <w:rPr>
                <w:rFonts w:ascii="宋体" w:hAnsi="宋体" w:eastAsia="宋体" w:cs="宋体"/>
                <w:b w:val="0"/>
                <w:bCs w:val="0"/>
                <w:sz w:val="24"/>
                <w:szCs w:val="24"/>
              </w:rPr>
              <w:br w:type="textWrapping"/>
            </w:r>
            <w:r>
              <w:rPr>
                <w:rFonts w:ascii="宋体" w:hAnsi="宋体" w:eastAsia="宋体" w:cs="宋体"/>
                <w:b w:val="0"/>
                <w:bCs w:val="0"/>
                <w:sz w:val="24"/>
                <w:szCs w:val="24"/>
              </w:rPr>
              <w:t>Test type: Salmonella/microsome (Ames) test</w:t>
            </w:r>
            <w:r>
              <w:rPr>
                <w:rFonts w:ascii="宋体" w:hAnsi="宋体" w:eastAsia="宋体" w:cs="宋体"/>
                <w:b w:val="0"/>
                <w:bCs w:val="0"/>
                <w:sz w:val="24"/>
                <w:szCs w:val="24"/>
              </w:rPr>
              <w:br w:type="textWrapping"/>
            </w:r>
            <w:r>
              <w:rPr>
                <w:rFonts w:ascii="宋体" w:hAnsi="宋体" w:eastAsia="宋体" w:cs="宋体"/>
                <w:b w:val="0"/>
                <w:bCs w:val="0"/>
                <w:sz w:val="24"/>
                <w:szCs w:val="24"/>
              </w:rPr>
              <w:t>Metabolic activation: With/without</w:t>
            </w:r>
            <w:r>
              <w:rPr>
                <w:rFonts w:ascii="宋体" w:hAnsi="宋体" w:eastAsia="宋体" w:cs="宋体"/>
                <w:b w:val="0"/>
                <w:bCs w:val="0"/>
                <w:sz w:val="24"/>
                <w:szCs w:val="24"/>
              </w:rPr>
              <w:br w:type="textWrapping"/>
            </w:r>
            <w:r>
              <w:rPr>
                <w:rFonts w:ascii="宋体" w:hAnsi="宋体" w:eastAsia="宋体" w:cs="宋体"/>
                <w:b w:val="0"/>
                <w:bCs w:val="0"/>
                <w:sz w:val="24"/>
                <w:szCs w:val="24"/>
              </w:rPr>
              <w:t>Result: Negative</w:t>
            </w:r>
            <w:r>
              <w:rPr>
                <w:rFonts w:ascii="宋体" w:hAnsi="宋体" w:eastAsia="宋体" w:cs="宋体"/>
                <w:b w:val="0"/>
                <w:bCs w:val="0"/>
                <w:sz w:val="24"/>
                <w:szCs w:val="24"/>
              </w:rPr>
              <w:br w:type="textWrapping"/>
            </w:r>
            <w:r>
              <w:rPr>
                <w:rFonts w:ascii="宋体" w:hAnsi="宋体" w:eastAsia="宋体" w:cs="宋体"/>
                <w:b w:val="0"/>
                <w:bCs w:val="0"/>
                <w:sz w:val="24"/>
                <w:szCs w:val="24"/>
              </w:rPr>
              <w:t>Method: OECD Test Guideline 471</w:t>
            </w:r>
            <w:r>
              <w:rPr>
                <w:rFonts w:ascii="宋体" w:hAnsi="宋体" w:eastAsia="宋体" w:cs="宋体"/>
                <w:b w:val="0"/>
                <w:bCs w:val="0"/>
                <w:sz w:val="24"/>
                <w:szCs w:val="24"/>
              </w:rPr>
              <w:br w:type="textWrapping"/>
            </w:r>
            <w:r>
              <w:rPr>
                <w:rFonts w:ascii="宋体" w:hAnsi="宋体" w:eastAsia="宋体" w:cs="宋体"/>
                <w:b w:val="0"/>
                <w:bCs w:val="0"/>
                <w:sz w:val="24"/>
                <w:szCs w:val="24"/>
              </w:rPr>
              <w:t>Study of a similar product</w:t>
            </w:r>
            <w:r>
              <w:rPr>
                <w:rFonts w:ascii="宋体" w:hAnsi="宋体" w:eastAsia="宋体" w:cs="宋体"/>
                <w:b w:val="0"/>
                <w:bCs w:val="0"/>
                <w:sz w:val="24"/>
                <w:szCs w:val="24"/>
              </w:rPr>
              <w:br w:type="textWrapping"/>
            </w:r>
            <w:r>
              <w:rPr>
                <w:rFonts w:ascii="宋体" w:hAnsi="宋体" w:eastAsia="宋体" w:cs="宋体"/>
                <w:b w:val="0"/>
                <w:bCs w:val="0"/>
                <w:sz w:val="24"/>
                <w:szCs w:val="24"/>
              </w:rPr>
              <w:t>Test type: In vitro chromosome aberration test</w:t>
            </w:r>
            <w:r>
              <w:rPr>
                <w:rFonts w:ascii="宋体" w:hAnsi="宋体" w:eastAsia="宋体" w:cs="宋体"/>
                <w:b w:val="0"/>
                <w:bCs w:val="0"/>
                <w:sz w:val="24"/>
                <w:szCs w:val="24"/>
              </w:rPr>
              <w:br w:type="textWrapping"/>
            </w:r>
            <w:r>
              <w:rPr>
                <w:rFonts w:ascii="宋体" w:hAnsi="宋体" w:eastAsia="宋体" w:cs="宋体"/>
                <w:b w:val="0"/>
                <w:bCs w:val="0"/>
                <w:sz w:val="24"/>
                <w:szCs w:val="24"/>
              </w:rPr>
              <w:t>Metabolic activation: With/without</w:t>
            </w:r>
            <w:r>
              <w:rPr>
                <w:rFonts w:ascii="宋体" w:hAnsi="宋体" w:eastAsia="宋体" w:cs="宋体"/>
                <w:b w:val="0"/>
                <w:bCs w:val="0"/>
                <w:sz w:val="24"/>
                <w:szCs w:val="24"/>
              </w:rPr>
              <w:br w:type="textWrapping"/>
            </w:r>
            <w:r>
              <w:rPr>
                <w:rFonts w:ascii="宋体" w:hAnsi="宋体" w:eastAsia="宋体" w:cs="宋体"/>
                <w:b w:val="0"/>
                <w:bCs w:val="0"/>
                <w:sz w:val="24"/>
                <w:szCs w:val="24"/>
              </w:rPr>
              <w:t>Result: Negative</w:t>
            </w:r>
            <w:r>
              <w:rPr>
                <w:rFonts w:ascii="宋体" w:hAnsi="宋体" w:eastAsia="宋体" w:cs="宋体"/>
                <w:b w:val="0"/>
                <w:bCs w:val="0"/>
                <w:sz w:val="24"/>
                <w:szCs w:val="24"/>
              </w:rPr>
              <w:br w:type="textWrapping"/>
            </w:r>
            <w:r>
              <w:rPr>
                <w:rFonts w:ascii="宋体" w:hAnsi="宋体" w:eastAsia="宋体" w:cs="宋体"/>
                <w:b w:val="0"/>
                <w:bCs w:val="0"/>
                <w:sz w:val="24"/>
                <w:szCs w:val="24"/>
              </w:rPr>
              <w:t>Method: OECD Test Guideline 473</w:t>
            </w:r>
            <w:r>
              <w:rPr>
                <w:rFonts w:ascii="宋体" w:hAnsi="宋体" w:eastAsia="宋体" w:cs="宋体"/>
                <w:b w:val="0"/>
                <w:bCs w:val="0"/>
                <w:sz w:val="24"/>
                <w:szCs w:val="24"/>
              </w:rPr>
              <w:br w:type="textWrapping"/>
            </w:r>
            <w:r>
              <w:rPr>
                <w:rFonts w:ascii="宋体" w:hAnsi="宋体" w:eastAsia="宋体" w:cs="宋体"/>
                <w:b w:val="0"/>
                <w:bCs w:val="0"/>
                <w:sz w:val="24"/>
                <w:szCs w:val="24"/>
              </w:rPr>
              <w:t>Study of a similar product</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rPr>
            </w:pPr>
            <w:r>
              <w:rPr>
                <w:rFonts w:hint="eastAsia" w:hAnsi="Arial" w:eastAsia="宋体" w:cs="Times New Roman"/>
                <w:b/>
                <w:bCs/>
                <w:kern w:val="2"/>
                <w:sz w:val="21"/>
                <w:szCs w:val="21"/>
                <w:lang w:val="en-US" w:eastAsia="zh-CN" w:bidi="ar-SA"/>
              </w:rPr>
              <w:t xml:space="preserve">11.7 </w:t>
            </w:r>
            <w:r>
              <w:rPr>
                <w:rFonts w:hint="eastAsia" w:hAnsi="Arial" w:eastAsia="宋体" w:cs="Times New Roman"/>
                <w:b/>
                <w:bCs/>
                <w:kern w:val="2"/>
                <w:sz w:val="24"/>
                <w:szCs w:val="24"/>
                <w:lang w:val="en-US" w:eastAsia="zh-CN" w:bidi="ar-SA"/>
              </w:rPr>
              <w:t xml:space="preserve"> </w:t>
            </w:r>
            <w:r>
              <w:rPr>
                <w:rFonts w:hint="eastAsia" w:hAnsi="Arial" w:eastAsia="宋体"/>
                <w:b/>
                <w:bCs/>
                <w:sz w:val="24"/>
                <w:szCs w:val="24"/>
                <w:lang w:val="en-US" w:eastAsia="zh-CN"/>
              </w:rPr>
              <w:t>n vivo genotoxicity: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hAnsi="Arial"/>
                <w:sz w:val="24"/>
                <w:szCs w:val="24"/>
                <w:lang w:val="en-US" w:eastAsia="zh-CN"/>
              </w:rPr>
            </w:pPr>
            <w:r>
              <w:rPr>
                <w:rFonts w:hint="eastAsia" w:hAnsi="Arial" w:eastAsia="宋体"/>
                <w:b w:val="0"/>
                <w:bCs w:val="0"/>
                <w:sz w:val="24"/>
                <w:szCs w:val="24"/>
                <w:lang w:val="en-US" w:eastAsia="zh-CN"/>
              </w:rPr>
              <w:t>Polyurethane dispersion</w:t>
            </w:r>
            <w:r>
              <w:rPr>
                <w:rFonts w:hint="eastAsia" w:hAnsi="Arial" w:eastAsia="宋体"/>
                <w:b w:val="0"/>
                <w:bCs w:val="0"/>
                <w:sz w:val="24"/>
                <w:szCs w:val="24"/>
                <w:lang w:val="en-US" w:eastAsia="zh-CN"/>
              </w:rPr>
              <w:br w:type="textWrapping"/>
            </w:r>
            <w:r>
              <w:rPr>
                <w:rFonts w:hint="eastAsia" w:hAnsi="Arial" w:eastAsia="宋体"/>
                <w:b w:val="0"/>
                <w:bCs w:val="0"/>
                <w:sz w:val="24"/>
                <w:szCs w:val="24"/>
                <w:lang w:val="en-US" w:eastAsia="zh-CN"/>
              </w:rPr>
              <w:t>No data available.</w:t>
            </w:r>
          </w:p>
        </w:tc>
      </w:tr>
      <w:tr w14:paraId="6A48BD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46CC54A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rPr>
            </w:pPr>
            <w:r>
              <w:rPr>
                <w:rFonts w:hint="eastAsia" w:hAnsi="Arial" w:eastAsia="宋体" w:cs="Times New Roman"/>
                <w:b/>
                <w:bCs/>
                <w:kern w:val="2"/>
                <w:sz w:val="21"/>
                <w:szCs w:val="21"/>
                <w:lang w:val="en-US" w:eastAsia="zh-CN" w:bidi="ar-SA"/>
              </w:rPr>
              <w:t>11.8</w:t>
            </w:r>
            <w:r>
              <w:rPr>
                <w:rFonts w:hint="eastAsia" w:hAnsi="Arial" w:cs="Times New Roman"/>
                <w:b/>
                <w:bCs/>
                <w:kern w:val="2"/>
                <w:sz w:val="21"/>
                <w:szCs w:val="21"/>
                <w:lang w:val="en-US" w:eastAsia="zh-CN" w:bidi="ar-SA"/>
              </w:rPr>
              <w:t xml:space="preserve">  </w:t>
            </w:r>
            <w:r>
              <w:rPr>
                <w:rFonts w:hint="eastAsia" w:hAnsi="Arial" w:eastAsia="宋体"/>
                <w:b/>
                <w:bCs/>
                <w:sz w:val="24"/>
                <w:szCs w:val="24"/>
                <w:lang w:val="en-US" w:eastAsia="zh-CN"/>
              </w:rPr>
              <w:t>Carcinogenicity:</w:t>
            </w:r>
          </w:p>
        </w:tc>
        <w:tc>
          <w:tcPr>
            <w:tcW w:w="6262" w:type="dxa"/>
            <w:gridSpan w:val="3"/>
            <w:tcBorders>
              <w:top w:val="dotted" w:color="auto" w:sz="4" w:space="0"/>
              <w:left w:val="dotted" w:color="auto" w:sz="4" w:space="0"/>
              <w:bottom w:val="dotted" w:color="auto" w:sz="4" w:space="0"/>
            </w:tcBorders>
            <w:vAlign w:val="center"/>
          </w:tcPr>
          <w:p w14:paraId="1DB8B5AC">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hAnsi="Arial"/>
                <w:sz w:val="24"/>
                <w:szCs w:val="24"/>
                <w:lang w:val="en-US" w:eastAsia="zh-CN"/>
              </w:rPr>
            </w:pPr>
            <w:r>
              <w:rPr>
                <w:rFonts w:hint="eastAsia" w:hAnsi="Arial" w:eastAsia="宋体"/>
                <w:b w:val="0"/>
                <w:bCs w:val="0"/>
                <w:sz w:val="24"/>
                <w:szCs w:val="24"/>
                <w:lang w:val="en-US" w:eastAsia="zh-CN"/>
              </w:rPr>
              <w:t>Carcinogenicity</w:t>
            </w:r>
            <w:r>
              <w:rPr>
                <w:rFonts w:hint="eastAsia" w:hAnsi="Arial" w:eastAsia="宋体"/>
                <w:b w:val="0"/>
                <w:bCs w:val="0"/>
                <w:sz w:val="24"/>
                <w:szCs w:val="24"/>
                <w:lang w:val="en-US" w:eastAsia="zh-CN"/>
              </w:rPr>
              <w:br w:type="textWrapping"/>
            </w:r>
            <w:r>
              <w:rPr>
                <w:rFonts w:hint="eastAsia" w:hAnsi="Arial" w:eastAsia="宋体"/>
                <w:b w:val="0"/>
                <w:bCs w:val="0"/>
                <w:sz w:val="24"/>
                <w:szCs w:val="24"/>
                <w:lang w:val="en-US" w:eastAsia="zh-CN"/>
              </w:rPr>
              <w:t>Polyurethane dispersion</w:t>
            </w:r>
            <w:r>
              <w:rPr>
                <w:rFonts w:hint="eastAsia" w:hAnsi="Arial" w:eastAsia="宋体"/>
                <w:b w:val="0"/>
                <w:bCs w:val="0"/>
                <w:sz w:val="24"/>
                <w:szCs w:val="24"/>
                <w:lang w:val="en-US" w:eastAsia="zh-CN"/>
              </w:rPr>
              <w:br w:type="textWrapping"/>
            </w:r>
            <w:r>
              <w:rPr>
                <w:rFonts w:hint="eastAsia" w:hAnsi="Arial" w:eastAsia="宋体"/>
                <w:b w:val="0"/>
                <w:bCs w:val="0"/>
                <w:sz w:val="24"/>
                <w:szCs w:val="24"/>
                <w:lang w:val="en-US" w:eastAsia="zh-CN"/>
              </w:rPr>
              <w:t>No data available.</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rPr>
            </w:pPr>
            <w:r>
              <w:rPr>
                <w:rFonts w:hint="eastAsia" w:hAnsi="Arial" w:cs="Times New Roman"/>
                <w:b/>
                <w:kern w:val="2"/>
                <w:sz w:val="21"/>
                <w:szCs w:val="21"/>
                <w:lang w:val="en-US" w:eastAsia="zh-CN" w:bidi="ar-SA"/>
              </w:rPr>
              <w:t xml:space="preserve">11.9  </w:t>
            </w:r>
            <w:r>
              <w:rPr>
                <w:rFonts w:hint="eastAsia" w:hAnsi="Arial"/>
                <w:b/>
                <w:sz w:val="24"/>
                <w:lang w:val="en-US" w:eastAsia="zh-CN"/>
              </w:rPr>
              <w:t>Reproductive toxicity：</w:t>
            </w:r>
          </w:p>
        </w:tc>
        <w:tc>
          <w:tcPr>
            <w:tcW w:w="1999" w:type="dxa"/>
            <w:gridSpan w:val="2"/>
            <w:tcBorders>
              <w:top w:val="dotted" w:color="auto" w:sz="4" w:space="0"/>
              <w:left w:val="dotted" w:color="auto" w:sz="4" w:space="0"/>
              <w:bottom w:val="dotted" w:color="auto" w:sz="4" w:space="0"/>
              <w:right w:val="dotted" w:color="auto" w:sz="4" w:space="0"/>
            </w:tcBorders>
            <w:vAlign w:val="center"/>
          </w:tcPr>
          <w:p w14:paraId="3863229A">
            <w:pPr>
              <w:keepNext w:val="0"/>
              <w:keepLines w:val="0"/>
              <w:pageBreakBefore w:val="0"/>
              <w:widowControl w:val="0"/>
              <w:kinsoku/>
              <w:wordWrap/>
              <w:overflowPunct/>
              <w:topLinePunct w:val="0"/>
              <w:autoSpaceDE/>
              <w:autoSpaceDN/>
              <w:bidi w:val="0"/>
              <w:adjustRightInd/>
              <w:snapToGrid/>
              <w:ind w:left="960" w:hanging="964" w:hangingChars="400"/>
              <w:jc w:val="left"/>
              <w:textAlignment w:val="auto"/>
              <w:rPr>
                <w:rFonts w:hint="eastAsia" w:hAnsi="Arial" w:eastAsia="宋体"/>
                <w:b/>
                <w:bCs/>
                <w:sz w:val="24"/>
                <w:lang w:val="en-US" w:eastAsia="zh-CN"/>
              </w:rPr>
            </w:pPr>
            <w:r>
              <w:rPr>
                <w:rFonts w:hint="eastAsia" w:hAnsi="Arial" w:eastAsia="宋体"/>
                <w:b/>
                <w:bCs/>
                <w:sz w:val="24"/>
                <w:szCs w:val="24"/>
              </w:rPr>
              <w:t>Fertilit</w:t>
            </w:r>
            <w:r>
              <w:rPr>
                <w:rFonts w:hint="eastAsia" w:hAnsi="Arial" w:eastAsia="宋体"/>
                <w:b/>
                <w:bCs/>
                <w:sz w:val="24"/>
                <w:szCs w:val="24"/>
                <w:lang w:eastAsia="zh-CN"/>
              </w:rPr>
              <w:t>y</w:t>
            </w:r>
          </w:p>
        </w:tc>
        <w:tc>
          <w:tcPr>
            <w:tcW w:w="4263" w:type="dxa"/>
            <w:tcBorders>
              <w:top w:val="dotted" w:color="auto" w:sz="4" w:space="0"/>
              <w:left w:val="dotted" w:color="auto" w:sz="4" w:space="0"/>
              <w:bottom w:val="dotted" w:color="auto" w:sz="4" w:space="0"/>
            </w:tcBorders>
            <w:vAlign w:val="center"/>
          </w:tcPr>
          <w:p w14:paraId="696E91D2">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ascii="宋体" w:hAnsi="宋体" w:eastAsia="宋体" w:cs="宋体"/>
                <w:sz w:val="24"/>
                <w:szCs w:val="24"/>
                <w:lang w:val="en-US" w:eastAsia="zh-CN"/>
              </w:rPr>
            </w:pPr>
            <w:r>
              <w:rPr>
                <w:rFonts w:hint="eastAsia" w:ascii="宋体" w:hAnsi="宋体" w:eastAsia="宋体" w:cs="宋体"/>
                <w:b w:val="0"/>
                <w:bCs w:val="0"/>
                <w:sz w:val="24"/>
                <w:szCs w:val="24"/>
                <w:lang w:val="en-US" w:eastAsia="zh-CN"/>
              </w:rPr>
              <w:t>Polyurethane dispersion</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No data available.</w:t>
            </w:r>
          </w:p>
        </w:tc>
      </w:tr>
      <w:tr w14:paraId="711777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237CBC02">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p>
        </w:tc>
        <w:tc>
          <w:tcPr>
            <w:tcW w:w="1999" w:type="dxa"/>
            <w:gridSpan w:val="2"/>
            <w:tcBorders>
              <w:top w:val="dotted" w:color="auto" w:sz="4" w:space="0"/>
              <w:left w:val="dotted" w:color="auto" w:sz="4" w:space="0"/>
              <w:bottom w:val="dotted" w:color="auto" w:sz="4" w:space="0"/>
              <w:right w:val="dotted" w:color="auto" w:sz="4" w:space="0"/>
            </w:tcBorders>
            <w:vAlign w:val="center"/>
          </w:tcPr>
          <w:p w14:paraId="61059801">
            <w:pPr>
              <w:keepNext w:val="0"/>
              <w:keepLines w:val="0"/>
              <w:pageBreakBefore w:val="0"/>
              <w:widowControl w:val="0"/>
              <w:kinsoku/>
              <w:wordWrap/>
              <w:overflowPunct/>
              <w:topLinePunct w:val="0"/>
              <w:autoSpaceDE/>
              <w:autoSpaceDN/>
              <w:bidi w:val="0"/>
              <w:adjustRightInd/>
              <w:snapToGrid/>
              <w:ind w:left="960" w:hanging="964" w:hangingChars="400"/>
              <w:jc w:val="left"/>
              <w:textAlignment w:val="auto"/>
              <w:rPr>
                <w:rFonts w:hint="eastAsia" w:ascii="宋体" w:hAnsi="宋体" w:eastAsia="宋体" w:cs="宋体"/>
                <w:b/>
                <w:bCs/>
                <w:sz w:val="24"/>
                <w:szCs w:val="24"/>
                <w:lang w:eastAsia="zh-CN"/>
              </w:rPr>
            </w:pPr>
            <w:r>
              <w:rPr>
                <w:rFonts w:hint="eastAsia" w:hAnsi="Arial" w:eastAsia="宋体"/>
                <w:b/>
                <w:bCs/>
                <w:sz w:val="24"/>
                <w:szCs w:val="24"/>
              </w:rPr>
              <w:t>Developmental toxicit</w:t>
            </w:r>
            <w:r>
              <w:rPr>
                <w:rFonts w:hint="eastAsia" w:hAnsi="Arial" w:eastAsia="宋体"/>
                <w:b/>
                <w:bCs/>
                <w:sz w:val="24"/>
                <w:szCs w:val="24"/>
                <w:lang w:eastAsia="zh-CN"/>
              </w:rPr>
              <w:t>y</w:t>
            </w:r>
          </w:p>
        </w:tc>
        <w:tc>
          <w:tcPr>
            <w:tcW w:w="4263" w:type="dxa"/>
            <w:tcBorders>
              <w:top w:val="dotted" w:color="auto" w:sz="4" w:space="0"/>
              <w:left w:val="dotted" w:color="auto" w:sz="4" w:space="0"/>
              <w:bottom w:val="dotted" w:color="auto" w:sz="4" w:space="0"/>
            </w:tcBorders>
            <w:vAlign w:val="center"/>
          </w:tcPr>
          <w:p w14:paraId="61696E46">
            <w:pPr>
              <w:keepNext w:val="0"/>
              <w:keepLines w:val="0"/>
              <w:pageBreakBefore w:val="0"/>
              <w:widowControl w:val="0"/>
              <w:tabs>
                <w:tab w:val="center" w:pos="2023"/>
              </w:tabs>
              <w:kinsoku/>
              <w:wordWrap/>
              <w:overflowPunct/>
              <w:topLinePunct w:val="0"/>
              <w:autoSpaceDE/>
              <w:autoSpaceDN/>
              <w:bidi w:val="0"/>
              <w:adjustRightInd/>
              <w:snapToGrid/>
              <w:spacing w:line="300" w:lineRule="auto"/>
              <w:ind w:right="0"/>
              <w:jc w:val="left"/>
              <w:textAlignment w:val="auto"/>
              <w:rPr>
                <w:rFonts w:hint="default" w:ascii="宋体" w:hAnsi="宋体" w:eastAsia="宋体" w:cs="宋体"/>
                <w:sz w:val="24"/>
                <w:szCs w:val="24"/>
                <w:lang w:val="en-US" w:eastAsia="zh-CN"/>
              </w:rPr>
            </w:pPr>
            <w:r>
              <w:rPr>
                <w:rFonts w:hint="eastAsia" w:ascii="宋体" w:hAnsi="宋体" w:eastAsia="宋体" w:cs="宋体"/>
                <w:b w:val="0"/>
                <w:bCs w:val="0"/>
                <w:sz w:val="24"/>
                <w:szCs w:val="24"/>
                <w:lang w:val="en-US" w:eastAsia="zh-CN"/>
              </w:rPr>
              <w:t>Polyurethane dispersion</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No data available.</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int="eastAsia" w:hAnsi="Arial" w:eastAsia="宋体" w:cs="Times New Roman"/>
                <w:b/>
                <w:bCs/>
                <w:kern w:val="2"/>
                <w:sz w:val="21"/>
                <w:szCs w:val="21"/>
                <w:lang w:val="en-US" w:eastAsia="zh-CN" w:bidi="ar-SA"/>
              </w:rPr>
              <w:t>11.1</w:t>
            </w:r>
            <w:r>
              <w:rPr>
                <w:rFonts w:hint="eastAsia" w:hAnsi="Arial" w:cs="Times New Roman"/>
                <w:b/>
                <w:bCs/>
                <w:kern w:val="2"/>
                <w:sz w:val="21"/>
                <w:szCs w:val="21"/>
                <w:lang w:val="en-US" w:eastAsia="zh-CN" w:bidi="ar-SA"/>
              </w:rPr>
              <w:t>0</w:t>
            </w:r>
            <w:r>
              <w:rPr>
                <w:rFonts w:hint="eastAsia" w:hAnsi="Arial" w:eastAsia="宋体"/>
                <w:b/>
                <w:bCs/>
                <w:sz w:val="24"/>
                <w:szCs w:val="24"/>
                <w:lang w:val="en-US" w:eastAsia="zh-CN"/>
              </w:rPr>
              <w:t xml:space="preserve"> </w:t>
            </w:r>
            <w:r>
              <w:rPr>
                <w:rFonts w:hint="eastAsia" w:hAnsi="Arial"/>
                <w:b/>
                <w:bCs/>
                <w:sz w:val="24"/>
                <w:szCs w:val="24"/>
                <w:lang w:val="en-US" w:eastAsia="zh-CN"/>
              </w:rPr>
              <w:t xml:space="preserve"> </w:t>
            </w:r>
            <w:r>
              <w:rPr>
                <w:rFonts w:hint="eastAsia" w:hAnsi="Arial" w:eastAsia="宋体"/>
                <w:b/>
                <w:bCs/>
                <w:sz w:val="24"/>
                <w:szCs w:val="24"/>
                <w:lang w:val="en-US" w:eastAsia="zh-CN"/>
              </w:rPr>
              <w:t>Specific target orga</w:t>
            </w:r>
          </w:p>
          <w:p w14:paraId="79F4137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3" w:leftChars="244" w:hanging="161" w:hangingChars="67"/>
              <w:jc w:val="left"/>
              <w:textAlignment w:val="auto"/>
              <w:rPr>
                <w:rFonts w:hint="eastAsia" w:hAnsi="Arial"/>
                <w:b/>
                <w:sz w:val="24"/>
                <w:lang w:val="en-US" w:eastAsia="zh-CN"/>
              </w:rPr>
            </w:pPr>
            <w:r>
              <w:rPr>
                <w:rFonts w:hint="eastAsia" w:hAnsi="Arial" w:eastAsia="宋体"/>
                <w:b/>
                <w:bCs/>
                <w:sz w:val="24"/>
                <w:szCs w:val="24"/>
                <w:lang w:val="en-US" w:eastAsia="zh-CN"/>
              </w:rPr>
              <w:t>n toxicity (single/repeate</w:t>
            </w:r>
          </w:p>
          <w:p w14:paraId="466F4390">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3" w:leftChars="244" w:hanging="161" w:hangingChars="67"/>
              <w:jc w:val="left"/>
              <w:textAlignment w:val="auto"/>
              <w:rPr>
                <w:rFonts w:hint="eastAsia" w:hAnsi="Arial"/>
                <w:b/>
                <w:sz w:val="24"/>
                <w:lang w:val="en-US" w:eastAsia="zh-CN"/>
              </w:rPr>
            </w:pPr>
            <w:r>
              <w:rPr>
                <w:rFonts w:hint="eastAsia" w:hAnsi="Arial" w:eastAsia="宋体"/>
                <w:b/>
                <w:bCs/>
                <w:sz w:val="24"/>
                <w:szCs w:val="24"/>
                <w:lang w:val="en-US" w:eastAsia="zh-CN"/>
              </w:rPr>
              <w:t>d 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default"/>
                <w:sz w:val="24"/>
                <w:szCs w:val="24"/>
                <w:lang w:val="en-US" w:eastAsia="zh-CN"/>
              </w:rPr>
            </w:pPr>
            <w:r>
              <w:rPr>
                <w:rFonts w:hint="eastAsia" w:eastAsia="宋体"/>
                <w:b w:val="0"/>
                <w:bCs w:val="0"/>
                <w:sz w:val="24"/>
                <w:szCs w:val="24"/>
                <w:lang w:val="en-US" w:eastAsia="zh-CN"/>
              </w:rPr>
              <w:t>STOT assessment – single exposure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Based on the available data, the classification criteria are not met.</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STOT assessment – repeated exposure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No data available.</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int="eastAsia" w:hAnsi="Arial" w:cs="Times New Roman"/>
                <w:b/>
                <w:kern w:val="2"/>
                <w:sz w:val="21"/>
                <w:szCs w:val="21"/>
                <w:lang w:val="en-US" w:eastAsia="zh-CN" w:bidi="ar-SA"/>
              </w:rPr>
              <w:t xml:space="preserve">11.11  </w:t>
            </w:r>
            <w:r>
              <w:rPr>
                <w:rFonts w:hint="eastAsia" w:hAnsi="Arial"/>
                <w:b/>
                <w:sz w:val="24"/>
                <w:lang w:val="en-US" w:eastAsia="zh-CN"/>
              </w:rPr>
              <w:t>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int="eastAsia" w:hAnsi="Arial" w:cs="Times New Roman"/>
                <w:b/>
                <w:kern w:val="2"/>
                <w:sz w:val="21"/>
                <w:szCs w:val="21"/>
                <w:lang w:val="en-US" w:eastAsia="zh-CN" w:bidi="ar-SA"/>
              </w:rPr>
              <w:t xml:space="preserve">11.12 </w:t>
            </w:r>
            <w:r>
              <w:rPr>
                <w:rFonts w:hint="eastAsia" w:hAnsi="Arial"/>
                <w:b/>
                <w:sz w:val="24"/>
                <w:lang w:val="en-US" w:eastAsia="zh-CN"/>
              </w:rPr>
              <w:t>Additional information：</w:t>
            </w:r>
          </w:p>
        </w:tc>
        <w:tc>
          <w:tcPr>
            <w:tcW w:w="6262" w:type="dxa"/>
            <w:gridSpan w:val="3"/>
            <w:tcBorders>
              <w:top w:val="dotted" w:color="auto" w:sz="4" w:space="0"/>
              <w:left w:val="dotted" w:color="auto" w:sz="4" w:space="0"/>
            </w:tcBorders>
            <w:vAlign w:val="center"/>
          </w:tcPr>
          <w:p w14:paraId="715C379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Polyurethane dispersion</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Carcinogenicity: No data available.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Mutagenicity: Based on the available data, the classification criteria are not met.</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Teratogenicity: No data available.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Reproductive toxicity/fertility: No data available.</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12.</w:t>
            </w:r>
            <w:r>
              <w:rPr>
                <w:b/>
                <w:sz w:val="24"/>
              </w:rPr>
              <w:t>Ecological information</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rFonts w:hint="default" w:eastAsia="宋体"/>
                <w:sz w:val="24"/>
                <w:lang w:val="en-US" w:eastAsia="zh-CN"/>
              </w:rPr>
            </w:pPr>
            <w:r>
              <w:rPr>
                <w:rFonts w:hint="eastAsia" w:hAnsi="Arial" w:cs="Times New Roman"/>
                <w:b/>
                <w:kern w:val="2"/>
                <w:sz w:val="21"/>
                <w:szCs w:val="21"/>
                <w:lang w:val="en-US" w:eastAsia="zh-CN" w:bidi="ar-SA"/>
              </w:rPr>
              <w:t>12.1</w:t>
            </w:r>
            <w:r>
              <w:rPr>
                <w:rFonts w:hint="eastAsia" w:hAnsi="Arial" w:cs="Times New Roman"/>
                <w:b/>
                <w:kern w:val="2"/>
                <w:sz w:val="52"/>
                <w:szCs w:val="52"/>
                <w:lang w:val="en-US" w:eastAsia="zh-CN" w:bidi="ar-SA"/>
              </w:rPr>
              <w:t xml:space="preserve"> </w:t>
            </w:r>
            <w:r>
              <w:rPr>
                <w:rFonts w:hint="eastAsia" w:hAnsi="Arial"/>
                <w:b/>
                <w:sz w:val="24"/>
              </w:rPr>
              <w:t>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No ecotoxicological studies are available for this product. Do not discharge into drains, wastewater, or soil.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rFonts w:hint="eastAsia" w:hAnsi="Arial"/>
                <w:b/>
                <w:sz w:val="24"/>
              </w:rPr>
            </w:pPr>
            <w:r>
              <w:rPr>
                <w:rFonts w:hint="eastAsia" w:hAnsi="Arial" w:cs="Times New Roman"/>
                <w:b/>
                <w:kern w:val="2"/>
                <w:sz w:val="21"/>
                <w:szCs w:val="21"/>
                <w:lang w:val="en-US" w:eastAsia="zh-CN" w:bidi="ar-SA"/>
              </w:rPr>
              <w:t>12.2</w:t>
            </w:r>
            <w:r>
              <w:rPr>
                <w:rFonts w:hint="eastAsia" w:hAnsi="Arial" w:cs="Times New Roman"/>
                <w:b/>
                <w:kern w:val="2"/>
                <w:sz w:val="52"/>
                <w:szCs w:val="52"/>
                <w:lang w:val="en-US" w:eastAsia="zh-CN" w:bidi="ar-SA"/>
              </w:rPr>
              <w:t xml:space="preserve"> </w:t>
            </w:r>
            <w:r>
              <w:rPr>
                <w:rFonts w:hint="eastAsia" w:hAnsi="Arial"/>
                <w:b/>
                <w:sz w:val="24"/>
              </w:rPr>
              <w:t>Persistence and</w:t>
            </w:r>
          </w:p>
          <w:p w14:paraId="4F8F9209">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9" w:leftChars="229" w:hanging="198" w:hangingChars="82"/>
              <w:jc w:val="left"/>
              <w:textAlignment w:val="auto"/>
              <w:rPr>
                <w:b/>
                <w:sz w:val="24"/>
              </w:rPr>
            </w:pPr>
            <w:r>
              <w:rPr>
                <w:rFonts w:hint="eastAsia" w:hAnsi="Arial"/>
                <w:b/>
                <w:sz w:val="24"/>
              </w:rPr>
              <w:t>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Biodegradability: &lt; 60% in 28 days; this product is not readily biodegradable.</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Method: OECD Test Guideline 301D</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Study of a similar product</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b/>
                <w:sz w:val="24"/>
              </w:rPr>
            </w:pPr>
            <w:r>
              <w:rPr>
                <w:rFonts w:hint="eastAsia" w:hAnsi="Arial" w:cs="Times New Roman"/>
                <w:b/>
                <w:kern w:val="2"/>
                <w:sz w:val="21"/>
                <w:szCs w:val="21"/>
                <w:lang w:val="en-US" w:eastAsia="zh-CN" w:bidi="ar-SA"/>
              </w:rPr>
              <w:t>12.3</w:t>
            </w:r>
            <w:r>
              <w:rPr>
                <w:rFonts w:hint="eastAsia" w:hAnsi="Arial" w:cs="Times New Roman"/>
                <w:b/>
                <w:kern w:val="2"/>
                <w:sz w:val="52"/>
                <w:szCs w:val="52"/>
                <w:lang w:val="en-US" w:eastAsia="zh-CN" w:bidi="ar-SA"/>
              </w:rPr>
              <w:t xml:space="preserve"> </w:t>
            </w:r>
            <w:r>
              <w:rPr>
                <w:rFonts w:hint="eastAsia" w:hAnsi="Arial"/>
                <w:b/>
                <w:sz w:val="24"/>
              </w:rPr>
              <w:t>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ind w:left="1"/>
              <w:jc w:val="both"/>
              <w:textAlignment w:val="auto"/>
              <w:rPr>
                <w:sz w:val="24"/>
                <w:szCs w:val="24"/>
              </w:rPr>
            </w:pPr>
            <w:r>
              <w:rPr>
                <w:rFonts w:hint="eastAsia" w:eastAsia="宋体"/>
                <w:b w:val="0"/>
                <w:bCs w:val="0"/>
                <w:sz w:val="24"/>
                <w:szCs w:val="24"/>
                <w:lang w:val="en-US" w:eastAsia="zh-CN"/>
              </w:rPr>
              <w:t>No data available.</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13.</w:t>
            </w:r>
            <w:r>
              <w:rPr>
                <w:b/>
                <w:sz w:val="24"/>
              </w:rPr>
              <w:t>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b w:val="0"/>
                <w:bCs w:val="0"/>
                <w:sz w:val="24"/>
                <w:szCs w:val="24"/>
                <w:lang w:val="en-US" w:eastAsia="zh-CN"/>
              </w:rPr>
              <w:t>Dispose of in accordance with applicable national standards and national or local regulations.</w:t>
            </w:r>
            <w:r>
              <w:rPr>
                <w:rFonts w:hint="eastAsia" w:eastAsia="宋体"/>
                <w:b w:val="0"/>
                <w:bCs w:val="0"/>
                <w:sz w:val="24"/>
                <w:szCs w:val="24"/>
                <w:lang w:val="en-US" w:eastAsia="zh-CN"/>
              </w:rPr>
              <w:br w:type="textWrapping"/>
            </w:r>
            <w:r>
              <w:rPr>
                <w:rFonts w:hint="eastAsia" w:eastAsia="宋体"/>
                <w:b w:val="0"/>
                <w:bCs w:val="0"/>
                <w:sz w:val="24"/>
                <w:szCs w:val="24"/>
                <w:lang w:val="en-US" w:eastAsia="zh-CN"/>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tabs>
                <w:tab w:val="left" w:pos="3275"/>
              </w:tabs>
              <w:kinsoku/>
              <w:wordWrap/>
              <w:overflowPunct/>
              <w:topLinePunct w:val="0"/>
              <w:autoSpaceDE/>
              <w:autoSpaceDN/>
              <w:bidi w:val="0"/>
              <w:adjustRightInd/>
              <w:snapToGrid/>
              <w:spacing w:line="300" w:lineRule="auto"/>
              <w:jc w:val="center"/>
              <w:textAlignment w:val="auto"/>
              <w:rPr>
                <w:sz w:val="24"/>
              </w:rPr>
            </w:pPr>
            <w:r>
              <w:rPr>
                <w:rFonts w:hint="eastAsia" w:hAnsi="Arial"/>
                <w:b/>
                <w:sz w:val="24"/>
              </w:rPr>
              <w:t>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hint="eastAsia" w:hAnsi="Arial" w:eastAsia="宋体"/>
                <w:b w:val="0"/>
                <w:bCs w:val="0"/>
                <w:sz w:val="24"/>
                <w:szCs w:val="24"/>
              </w:rPr>
              <w:t>Empty containers as completely as possible (e.g., by pouring, scraping, or draining until “drip-dry”).</w:t>
            </w:r>
            <w:r>
              <w:rPr>
                <w:rFonts w:hint="eastAsia" w:hAnsi="Arial" w:eastAsia="宋体"/>
                <w:b w:val="0"/>
                <w:bCs w:val="0"/>
                <w:sz w:val="24"/>
                <w:szCs w:val="24"/>
              </w:rPr>
              <w:br w:type="textWrapping"/>
            </w:r>
            <w:r>
              <w:rPr>
                <w:rFonts w:hint="eastAsia" w:hAnsi="Arial" w:eastAsia="宋体"/>
                <w:b w:val="0"/>
                <w:bCs w:val="0"/>
                <w:sz w:val="24"/>
                <w:szCs w:val="24"/>
              </w:rPr>
              <w:t>They may be sent to an appropriate collection point under existing chemical industry recycling schemes.</w:t>
            </w:r>
            <w:r>
              <w:rPr>
                <w:rFonts w:hint="eastAsia" w:hAnsi="Arial" w:eastAsia="宋体"/>
                <w:b w:val="0"/>
                <w:bCs w:val="0"/>
                <w:sz w:val="24"/>
                <w:szCs w:val="24"/>
              </w:rPr>
              <w:br w:type="textWrapping"/>
            </w:r>
            <w:r>
              <w:rPr>
                <w:rFonts w:hint="eastAsia" w:hAnsi="Arial" w:eastAsia="宋体"/>
                <w:b w:val="0"/>
                <w:bCs w:val="0"/>
                <w:sz w:val="24"/>
                <w:szCs w:val="24"/>
              </w:rPr>
              <w:t>Recycle containers in accordance with national regulations and applicable environmental requirements.</w:t>
            </w:r>
            <w:r>
              <w:rPr>
                <w:rFonts w:hint="eastAsia" w:hAnsi="Arial" w:eastAsia="宋体"/>
                <w:b w:val="0"/>
                <w:bCs w:val="0"/>
                <w:sz w:val="24"/>
                <w:szCs w:val="24"/>
              </w:rPr>
              <w:br w:type="textWrapping"/>
            </w:r>
            <w:r>
              <w:rPr>
                <w:rFonts w:hint="eastAsia" w:hAnsi="Arial" w:eastAsia="宋体"/>
                <w:b w:val="0"/>
                <w:bCs w:val="0"/>
                <w:sz w:val="24"/>
                <w:szCs w:val="24"/>
              </w:rPr>
              <w:t>Do not discharge waste via wastewater.</w:t>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14.</w:t>
            </w:r>
            <w:r>
              <w:rPr>
                <w:b/>
                <w:sz w:val="24"/>
              </w:rPr>
              <w:t>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14.1</w:t>
            </w:r>
            <w:r>
              <w:rPr>
                <w:rFonts w:hint="eastAsia" w:hAnsi="Arial" w:cs="Times New Roman"/>
                <w:b/>
                <w:kern w:val="2"/>
                <w:sz w:val="52"/>
                <w:szCs w:val="52"/>
                <w:lang w:val="en-US" w:eastAsia="zh-CN" w:bidi="ar-SA"/>
              </w:rPr>
              <w:t xml:space="preserve"> </w:t>
            </w:r>
            <w:r>
              <w:rPr>
                <w:rFonts w:hint="eastAsia" w:hAnsi="Arial"/>
                <w:b/>
                <w:sz w:val="24"/>
              </w:rPr>
              <w:t>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ind w:left="34"/>
              <w:jc w:val="left"/>
              <w:textAlignment w:val="auto"/>
              <w:rPr>
                <w:sz w:val="24"/>
                <w:szCs w:val="24"/>
              </w:rPr>
            </w:pPr>
            <w:r>
              <w:rPr>
                <w:rFonts w:hint="eastAsia" w:hAnsi="Arial" w:eastAsia="宋体"/>
                <w:b w:val="0"/>
                <w:bCs w:val="0"/>
                <w:sz w:val="24"/>
                <w:szCs w:val="24"/>
              </w:rPr>
              <w:t>Not dangerous goods for land transport under the ADG code.</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14.2</w:t>
            </w:r>
            <w:r>
              <w:rPr>
                <w:rFonts w:hint="eastAsia" w:hAnsi="Arial" w:cs="Times New Roman"/>
                <w:b/>
                <w:kern w:val="2"/>
                <w:sz w:val="52"/>
                <w:szCs w:val="52"/>
                <w:lang w:val="en-US" w:eastAsia="zh-CN" w:bidi="ar-SA"/>
              </w:rPr>
              <w:t xml:space="preserve"> </w:t>
            </w:r>
            <w:r>
              <w:rPr>
                <w:rFonts w:hint="eastAsia" w:hAnsi="Arial"/>
                <w:b/>
                <w:sz w:val="24"/>
              </w:rPr>
              <w:t>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rFonts w:hint="eastAsia" w:hAnsi="Arial" w:eastAsia="宋体"/>
                <w:b w:val="0"/>
                <w:bCs w:val="0"/>
                <w:sz w:val="24"/>
                <w:szCs w:val="24"/>
              </w:rPr>
              <w:t>Not dangerous goods for sea transport under the IMDG Code.</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14.3</w:t>
            </w:r>
            <w:r>
              <w:rPr>
                <w:rFonts w:hint="eastAsia" w:hAnsi="Arial" w:cs="Times New Roman"/>
                <w:b/>
                <w:kern w:val="2"/>
                <w:sz w:val="52"/>
                <w:szCs w:val="52"/>
                <w:lang w:val="en-US" w:eastAsia="zh-CN" w:bidi="ar-SA"/>
              </w:rPr>
              <w:t xml:space="preserve"> </w:t>
            </w:r>
            <w:r>
              <w:rPr>
                <w:rFonts w:hint="eastAsia" w:hAnsi="Arial"/>
                <w:b/>
                <w:sz w:val="24"/>
              </w:rPr>
              <w:t>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rFonts w:hint="eastAsia" w:hAnsi="Arial" w:eastAsia="宋体"/>
                <w:b w:val="0"/>
                <w:bCs w:val="0"/>
                <w:sz w:val="24"/>
                <w:szCs w:val="24"/>
              </w:rPr>
              <w:t>Not dangerous goods for air transport under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14.4</w:t>
            </w:r>
            <w:r>
              <w:rPr>
                <w:rFonts w:hint="eastAsia" w:hAnsi="Arial" w:cs="Times New Roman"/>
                <w:b/>
                <w:kern w:val="2"/>
                <w:sz w:val="52"/>
                <w:szCs w:val="52"/>
                <w:lang w:val="en-US" w:eastAsia="zh-CN" w:bidi="ar-SA"/>
              </w:rPr>
              <w:t xml:space="preserve"> </w:t>
            </w:r>
            <w:r>
              <w:rPr>
                <w:rFonts w:hint="eastAsia" w:hAnsi="Arial"/>
                <w:b/>
                <w:sz w:val="24"/>
              </w:rPr>
              <w:t>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sz w:val="24"/>
                <w:szCs w:val="24"/>
              </w:rPr>
            </w:pPr>
            <w:r>
              <w:rPr>
                <w:rFonts w:hint="eastAsia" w:hAnsi="Arial" w:eastAsia="宋体"/>
                <w:b w:val="0"/>
                <w:bCs w:val="0"/>
                <w:sz w:val="24"/>
                <w:szCs w:val="24"/>
              </w:rPr>
              <w:t>Not dangerous goods.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15.</w:t>
            </w:r>
            <w:r>
              <w:rPr>
                <w:b/>
                <w:sz w:val="24"/>
              </w:rPr>
              <w:t>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jc w:val="left"/>
              <w:rPr>
                <w:rFonts w:hint="default" w:ascii="Times New Roman" w:hAnsi="Times New Roman" w:cs="Times New Roman"/>
                <w:bCs/>
                <w:kern w:val="0"/>
                <w:sz w:val="24"/>
                <w:szCs w:val="24"/>
              </w:rPr>
            </w:pPr>
            <w:r>
              <w:rPr>
                <w:rFonts w:hint="default" w:ascii="Times New Roman" w:hAnsi="Times New Roman" w:eastAsia="宋体" w:cs="Times New Roman"/>
                <w:b w:val="0"/>
                <w:bCs w:val="0"/>
                <w:kern w:val="0"/>
                <w:sz w:val="24"/>
                <w:szCs w:val="24"/>
              </w:rPr>
              <w:t>Safety, health, and environmental regulations specific to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hint="default" w:ascii="Times New Roman" w:hAnsi="Times New Roman" w:cs="Times New Roman"/>
                <w:b/>
                <w:bCs/>
                <w:kern w:val="0"/>
                <w:sz w:val="24"/>
                <w:szCs w:val="24"/>
              </w:rPr>
              <w:t>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hint="default" w:ascii="Times New Roman" w:hAnsi="Times New Roman" w:cs="Times New Roman"/>
                <w:b/>
                <w:bCs/>
                <w:kern w:val="0"/>
                <w:sz w:val="24"/>
                <w:szCs w:val="24"/>
              </w:rPr>
              <w:t>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int="default" w:hAnsi="Arial" w:eastAsia="宋体"/>
                <w:b w:val="0"/>
                <w:bCs w:val="0"/>
                <w:sz w:val="24"/>
                <w:szCs w:val="24"/>
              </w:rPr>
              <w:t>Regulations on the Safety Management of Hazardous Chemicals, State Council Decree No. 344</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int="default" w:hAnsi="Arial" w:eastAsia="宋体"/>
                <w:b w:val="0"/>
                <w:bCs w:val="0"/>
                <w:sz w:val="24"/>
                <w:szCs w:val="24"/>
              </w:rPr>
              <w:t>GB/T 16483-2008, Safety Data Sheet for Chemical Products: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int="default" w:hAnsi="Arial" w:eastAsia="宋体"/>
                <w:b w:val="0"/>
                <w:bCs w:val="0"/>
                <w:sz w:val="24"/>
                <w:szCs w:val="24"/>
              </w:rPr>
              <w:t>GB 13690-2009,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lang w:val="en-US" w:eastAsia="zh-CN"/>
              </w:rPr>
            </w:pPr>
            <w:r>
              <w:rPr>
                <w:rFonts w:hint="default" w:hAnsi="Arial" w:eastAsia="宋体"/>
                <w:b w:val="0"/>
                <w:bCs w:val="0"/>
                <w:sz w:val="24"/>
                <w:szCs w:val="24"/>
              </w:rPr>
              <w:t>GB 20576–GB 20598, Safety Rules for Classification, Precautionary Labelling, and Precautionary Statements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lang w:val="en-US" w:eastAsia="zh-CN"/>
              </w:rPr>
            </w:pPr>
            <w:r>
              <w:rPr>
                <w:rFonts w:hint="default" w:hAnsi="Arial" w:eastAsia="宋体"/>
                <w:b w:val="0"/>
                <w:bCs w:val="0"/>
                <w:sz w:val="24"/>
                <w:szCs w:val="24"/>
                <w:lang w:val="en-US" w:eastAsia="zh-CN"/>
              </w:rPr>
              <w:t>GB 15258, General Rules for Preparation of Precautionary Labels for Chemicals</w:t>
            </w:r>
          </w:p>
        </w:tc>
      </w:tr>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16.</w:t>
            </w:r>
            <w:r>
              <w:rPr>
                <w:b/>
                <w:sz w:val="24"/>
              </w:rPr>
              <w:t>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jc w:val="left"/>
              <w:textAlignment w:val="auto"/>
              <w:rPr>
                <w:rFonts w:cs="Arial"/>
                <w:bCs/>
                <w:kern w:val="0"/>
                <w:sz w:val="24"/>
              </w:rPr>
            </w:pPr>
            <w:r>
              <w:rPr>
                <w:rFonts w:hint="eastAsia" w:hAnsi="Arial" w:eastAsia="宋体"/>
                <w:b w:val="0"/>
                <w:bCs w:val="0"/>
                <w:sz w:val="24"/>
                <w:szCs w:val="24"/>
              </w:rPr>
              <w:t>To the best of our knowledge, the information provided in this Safety Data Sheet is correct as of its date of issue. The information is intended only as guidance for the safe handling, use, production, storage, transport, disposal, and release of the specified material; it does not constitute a warranty or quality specification. This information applies only to the material specifically identified herein and may not be valid when that material is used in combination with other materials or in other processes, unless expressly stated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68"/>
      <w:gridCol w:w="4800"/>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5168" w:type="dxa"/>
          <w:vAlign w:val="center"/>
        </w:tcPr>
        <w:p w14:paraId="4D86314E">
          <w:pPr>
            <w:pStyle w:val="2"/>
            <w:keepNext w:val="0"/>
            <w:keepLines w:val="0"/>
            <w:pageBreakBefore w:val="0"/>
            <w:widowControl w:val="0"/>
            <w:kinsoku/>
            <w:wordWrap/>
            <w:overflowPunct/>
            <w:topLinePunct w:val="0"/>
            <w:bidi w:val="0"/>
            <w:adjustRightInd/>
            <w:snapToGrid w:val="0"/>
            <w:jc w:val="left"/>
            <w:textAlignment w:val="auto"/>
            <w:rPr>
              <w:rFonts w:hint="eastAsia"/>
              <w:kern w:val="0"/>
              <w:sz w:val="21"/>
              <w:szCs w:val="21"/>
              <w:lang w:val="en-US" w:eastAsia="zh-CN"/>
            </w:rPr>
          </w:pPr>
          <w:r>
            <w:rPr>
              <w:kern w:val="0"/>
              <w:sz w:val="21"/>
              <w:szCs w:val="21"/>
            </w:rPr>
            <w:t>Yingde Guocai Fine Chemical Co., Ltd.</w:t>
          </w:r>
          <w:r>
            <w:rPr>
              <w:rFonts w:hint="eastAsia"/>
              <w:kern w:val="0"/>
              <w:sz w:val="21"/>
              <w:szCs w:val="21"/>
              <w:lang w:val="en-US" w:eastAsia="zh-CN"/>
            </w:rPr>
            <w:t xml:space="preserve"> </w:t>
          </w:r>
        </w:p>
        <w:p w14:paraId="46D85E13">
          <w:pPr>
            <w:pStyle w:val="2"/>
            <w:keepNext w:val="0"/>
            <w:keepLines w:val="0"/>
            <w:pageBreakBefore w:val="0"/>
            <w:widowControl w:val="0"/>
            <w:kinsoku/>
            <w:wordWrap/>
            <w:overflowPunct/>
            <w:topLinePunct w:val="0"/>
            <w:bidi w:val="0"/>
            <w:adjustRightInd/>
            <w:snapToGrid w:val="0"/>
            <w:jc w:val="left"/>
            <w:textAlignment w:val="auto"/>
            <w:rPr>
              <w:kern w:val="0"/>
              <w:sz w:val="21"/>
              <w:szCs w:val="21"/>
            </w:rPr>
          </w:pPr>
          <w:r>
            <w:rPr>
              <w:rFonts w:hint="eastAsia"/>
              <w:kern w:val="0"/>
              <w:sz w:val="21"/>
              <w:szCs w:val="21"/>
            </w:rPr>
            <w:t>PU-2702-MSDS</w:t>
          </w:r>
        </w:p>
      </w:tc>
      <w:tc>
        <w:tcPr>
          <w:tcW w:w="4800" w:type="dxa"/>
        </w:tcPr>
        <w:p w14:paraId="32B3FF4C">
          <w:pPr>
            <w:ind w:firstLine="8730" w:firstLineChars="4850"/>
            <w:jc w:val="right"/>
            <w:rPr>
              <w:kern w:val="0"/>
              <w:sz w:val="20"/>
            </w:rPr>
          </w:pPr>
          <w:r>
            <w:rPr>
              <w:rFonts w:ascii="Arial" w:eastAsia="楷体_GB2312"/>
              <w:color w:val="7F7F7F"/>
              <w:kern w:val="0"/>
              <w:sz w:val="18"/>
              <w:szCs w:val="18"/>
            </w:rPr>
            <w:t>R</w:t>
          </w:r>
          <w:r>
            <w:rPr>
              <w:rFonts w:hint="eastAsia" w:ascii="Arial" w:eastAsia="楷体_GB2312"/>
              <w:color w:val="7F7F7F"/>
              <w:kern w:val="0"/>
              <w:sz w:val="18"/>
              <w:szCs w:val="18"/>
              <w:lang w:val="en-US" w:eastAsia="zh-CN"/>
            </w:rPr>
            <w:t>E</w:t>
          </w:r>
          <w:r>
            <w:rPr>
              <w:rFonts w:ascii="Arial" w:eastAsia="楷体_GB2312"/>
              <w:color w:val="7F7F7F"/>
              <w:kern w:val="0"/>
              <w:sz w:val="18"/>
              <w:szCs w:val="18"/>
            </w:rPr>
            <w:t>vision Date: 2026</w:t>
          </w:r>
          <w:r>
            <w:rPr>
              <w:rFonts w:hint="eastAsia" w:ascii="Arial" w:eastAsia="楷体_GB2312"/>
              <w:color w:val="7F7F7F"/>
              <w:kern w:val="0"/>
              <w:sz w:val="18"/>
              <w:szCs w:val="18"/>
              <w:lang w:val="en-US" w:eastAsia="zh-CN"/>
            </w:rPr>
            <w:t>/10/1</w:t>
          </w:r>
          <w:bookmarkStart w:id="0" w:name="_GoBack"/>
          <w:bookmarkEnd w:id="0"/>
          <w:r>
            <w:rPr>
              <w:rFonts w:ascii="Arial" w:eastAsia="楷体_GB2312"/>
              <w:color w:val="7F7F7F"/>
              <w:kern w:val="0"/>
              <w:sz w:val="18"/>
              <w:szCs w:val="18"/>
            </w:rPr>
            <w:t>5</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68" w:type="dxa"/>
        </w:tcPr>
        <w:p w14:paraId="410F45E5">
          <w:pPr>
            <w:pStyle w:val="2"/>
            <w:rPr>
              <w:kern w:val="0"/>
              <w:sz w:val="21"/>
              <w:szCs w:val="21"/>
            </w:rPr>
          </w:pPr>
        </w:p>
      </w:tc>
      <w:tc>
        <w:tcPr>
          <w:tcW w:w="4800"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PU-2702</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2460A"/>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0B13BF0"/>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1505</Words>
  <Characters>8988</Characters>
  <Lines>18</Lines>
  <Paragraphs>5</Paragraphs>
  <TotalTime>0</TotalTime>
  <ScaleCrop>false</ScaleCrop>
  <LinksUpToDate>false</LinksUpToDate>
  <CharactersWithSpaces>10205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2026-10-15T07:06:19Z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