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此处填写产品中文名称+型号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此处填写化学品分类名称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此处填写使用建议和使用限制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/>
                <w:kern w:val="0"/>
                <w:sz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地址：广州市萝岗区科学城掬泉路3号广州国际企业孵化器A区1106室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sz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6D70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0B9FE21E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.1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  <w:lang w:val="en-US" w:eastAsia="zh-CN"/>
              </w:rPr>
              <w:t>紧急情况概述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2BD6BEE">
            <w:pPr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8CFE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D7E670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60" w:leftChars="0" w:hanging="660" w:firstLineChars="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GHS危险性类别：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E05F7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/>
                <w:sz w:val="24"/>
              </w:rPr>
              <w:t>易燃液体，类别4（H227）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3D3BD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GHS标签要素：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03A67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432D8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B1CC2D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22" w:firstLineChars="200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GHS象形图：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98B97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b w:val="0"/>
                <w:bCs/>
                <w:sz w:val="24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lang w:val="en-US" w:eastAsia="zh-CN"/>
              </w:rPr>
              <w:t>无</w:t>
            </w:r>
          </w:p>
        </w:tc>
      </w:tr>
      <w:tr w14:paraId="0D72A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C5F57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信号词：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351877">
            <w:pPr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警告</w:t>
            </w:r>
          </w:p>
        </w:tc>
      </w:tr>
      <w:tr w14:paraId="40FD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9F7D7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Arial"/>
                <w:b/>
                <w:bCs/>
                <w:kern w:val="0"/>
                <w:sz w:val="24"/>
              </w:rPr>
            </w:pP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危险性说明：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386FB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H316造成轻微皮肤刺激。</w:t>
            </w:r>
          </w:p>
        </w:tc>
      </w:tr>
      <w:tr w14:paraId="76C1C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834F1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</w:t>
            </w:r>
            <w:r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.</w:t>
            </w: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6  </w:t>
            </w:r>
            <w:r>
              <w:rPr>
                <w:rFonts w:hint="eastAsia" w:hAnsi="Arial"/>
                <w:b/>
                <w:sz w:val="24"/>
              </w:rPr>
              <w:t>防范说明：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623E13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预防措施：</w:t>
            </w:r>
          </w:p>
          <w:p w14:paraId="400FB01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P210 远离热源、热表面、火花、明火和其他点火源。禁止吸烟。</w:t>
            </w:r>
          </w:p>
        </w:tc>
      </w:tr>
      <w:tr w14:paraId="3109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C1E34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>2.7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 物理和化学</w:t>
            </w:r>
            <w:r>
              <w:rPr>
                <w:rFonts w:hint="eastAsia" w:hAnsi="Arial"/>
                <w:b/>
                <w:sz w:val="24"/>
              </w:rPr>
              <w:t>危险：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569688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喷涂使用时可能形成雾滴或气溶胶，应避免吸入。</w:t>
            </w:r>
          </w:p>
        </w:tc>
      </w:tr>
      <w:tr w14:paraId="74281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5CE30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健康危害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360AE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吸入：</w:t>
            </w:r>
          </w:p>
        </w:tc>
      </w:tr>
      <w:tr w14:paraId="5481F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497D4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F3DC5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食入：</w:t>
            </w:r>
          </w:p>
        </w:tc>
      </w:tr>
      <w:tr w14:paraId="4F5F8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2E0B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16CCFF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皮肤：</w:t>
            </w:r>
          </w:p>
        </w:tc>
      </w:tr>
      <w:tr w14:paraId="76713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A3CE7B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AD1F4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眼睛：</w:t>
            </w:r>
          </w:p>
        </w:tc>
      </w:tr>
      <w:tr w14:paraId="2FBC6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9569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26716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症状和体征：</w:t>
            </w:r>
          </w:p>
        </w:tc>
      </w:tr>
      <w:tr w14:paraId="0195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544EEFC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default" w:ascii="Times New Roman" w:hAnsi="Arial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2.9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环境危害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3621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如：对水生生物有毒。</w:t>
            </w:r>
            <w:r>
              <w:rPr>
                <w:rFonts w:hint="default" w:hAnsi="Arial" w:cs="Arial"/>
                <w:kern w:val="0"/>
                <w:sz w:val="24"/>
                <w:lang w:val="en-US" w:eastAsia="zh-CN"/>
              </w:rPr>
              <w:t>可能对水生环境造成长期有害影响</w:t>
            </w:r>
          </w:p>
        </w:tc>
      </w:tr>
      <w:tr w14:paraId="7E97D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FA6DA8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2.10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其他危害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0C8A09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成分1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n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  <w:t>成分2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lang w:val="en-US" w:eastAsia="zh-CN"/>
              </w:rPr>
              <w:t>&gt; 45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若意外吞食，不要催吐，立即就医。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无意识时，不要经口喂食任何食物。</w:t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立即翻起上下眼睑用大量缓和流动的水清洗眼睛至少20 分钟。且将头倾斜，避免化学品流入另一只未受污染的眼睛，并立即就医。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立即用肥皂和大量的水冲洗。若发生皮肤反应，就医。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一旦吸入，如有不适，就医。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二氧化碳（</w:t>
            </w:r>
            <w:r>
              <w:rPr>
                <w:sz w:val="24"/>
              </w:rPr>
              <w:t>CO</w:t>
            </w:r>
            <w:r>
              <w:rPr>
                <w:sz w:val="24"/>
                <w:vertAlign w:val="subscript"/>
              </w:rPr>
              <w:t>2</w:t>
            </w:r>
            <w:r>
              <w:rPr>
                <w:rFonts w:hint="eastAsia"/>
                <w:sz w:val="24"/>
              </w:rPr>
              <w:t>），</w:t>
            </w:r>
            <w:r>
              <w:rPr>
                <w:rFonts w:hint="eastAsia"/>
                <w:sz w:val="24"/>
                <w:lang w:val="en-US" w:eastAsia="zh-CN"/>
              </w:rPr>
              <w:t>耐醇</w:t>
            </w:r>
            <w:r>
              <w:rPr>
                <w:rFonts w:hint="eastAsia"/>
                <w:sz w:val="24"/>
              </w:rPr>
              <w:t>泡沫，</w:t>
            </w:r>
            <w:r>
              <w:rPr>
                <w:rFonts w:hint="eastAsia"/>
                <w:sz w:val="24"/>
                <w:lang w:val="en-US" w:eastAsia="zh-CN"/>
              </w:rPr>
              <w:t>化学干粉</w:t>
            </w:r>
            <w:r>
              <w:rPr>
                <w:rFonts w:hint="eastAsia"/>
                <w:sz w:val="24"/>
                <w:lang w:eastAsia="zh-CN"/>
              </w:rPr>
              <w:t>。</w:t>
            </w:r>
            <w:r>
              <w:rPr>
                <w:rFonts w:hint="eastAsia"/>
                <w:sz w:val="24"/>
                <w:lang w:val="en-US" w:eastAsia="zh-CN"/>
              </w:rPr>
              <w:t>大火时应用水喷洒。</w:t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</w:rPr>
              <w:t>高流量的水喷射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燃烧时释放一氧化碳、二氧化碳、氮氧化物</w:t>
            </w:r>
            <w:r>
              <w:rPr>
                <w:rFonts w:hint="eastAsia"/>
                <w:sz w:val="24"/>
                <w:lang w:val="en-US" w:eastAsia="zh-CN"/>
              </w:rPr>
              <w:t>等</w:t>
            </w:r>
            <w:r>
              <w:rPr>
                <w:rFonts w:hint="eastAsia"/>
                <w:sz w:val="24"/>
                <w:lang w:eastAsia="zh-CN"/>
              </w:rPr>
              <w:t>。</w:t>
            </w:r>
          </w:p>
          <w:p w14:paraId="25D17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在着火或爆炸情况下，不要吸进烟尘。</w:t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消防人员必须佩戴自供气式呼吸器。</w:t>
            </w:r>
          </w:p>
          <w:p w14:paraId="2383C72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戴防护设备。确保充分的通风</w:t>
            </w:r>
            <w:r>
              <w:rPr>
                <w:sz w:val="24"/>
              </w:rPr>
              <w:t>/</w:t>
            </w:r>
            <w:r>
              <w:rPr>
                <w:rFonts w:hint="eastAsia"/>
                <w:sz w:val="24"/>
              </w:rPr>
              <w:t>排气。</w:t>
            </w:r>
          </w:p>
          <w:p w14:paraId="756EC0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令未授权人员离开。</w:t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禁止排入下水道，废水或土壤中</w:t>
            </w:r>
            <w:r>
              <w:rPr>
                <w:rFonts w:hint="eastAsia"/>
                <w:sz w:val="24"/>
              </w:rPr>
              <w:t>。</w:t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用化学品吸收材料或必要时用干沙收集，并储存于密闭容器中。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在具有适当排气通风的场所使用。</w:t>
            </w:r>
            <w:r>
              <w:rPr>
                <w:rFonts w:hint="eastAsia" w:hAnsi="Arial" w:cs="Arial"/>
                <w:kern w:val="0"/>
                <w:sz w:val="24"/>
              </w:rPr>
              <w:t>避免与皮肤和眼睛接触。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不要呼吸蒸气或喷雾。远离食物，饮料和烟草，休息前及工作结束及时洗手。更换被污染或浸湿的衣物。</w:t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容器保持紧闭，存储在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凉爽</w:t>
            </w:r>
            <w:r>
              <w:rPr>
                <w:rFonts w:hint="eastAsia" w:hAnsi="Arial" w:cs="Arial"/>
                <w:kern w:val="0"/>
                <w:sz w:val="24"/>
              </w:rPr>
              <w:t>通风处。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为保证</w:t>
            </w:r>
            <w:r>
              <w:rPr>
                <w:rFonts w:hint="eastAsia" w:hAnsi="Arial" w:cs="Arial"/>
                <w:kern w:val="0"/>
                <w:sz w:val="24"/>
              </w:rPr>
              <w:t>产品质量，必须遵守我们产品信息表的储存条件。</w:t>
            </w:r>
            <w:r>
              <w:rPr>
                <w:rFonts w:cs="Arial"/>
                <w:kern w:val="0"/>
                <w:sz w:val="24"/>
              </w:rPr>
              <w:t xml:space="preserve"> </w:t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/>
                <w:kern w:val="0"/>
                <w:sz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0.4mm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厚度≧</w:t>
            </w:r>
            <w:r>
              <w:rPr>
                <w:rFonts w:cs="Arial"/>
                <w:kern w:val="0"/>
                <w:sz w:val="24"/>
              </w:rPr>
              <w:t>0.35mm</w:t>
            </w:r>
            <w:r>
              <w:rPr>
                <w:rFonts w:hint="eastAsia" w:hAnsi="Arial" w:cs="Arial"/>
                <w:kern w:val="0"/>
                <w:sz w:val="24"/>
              </w:rPr>
              <w:t>；穿透时间≧</w:t>
            </w:r>
            <w:r>
              <w:rPr>
                <w:rFonts w:cs="Arial"/>
                <w:kern w:val="0"/>
                <w:sz w:val="24"/>
              </w:rPr>
              <w:t>480min.</w:t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戴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  <w:t>护目镜</w:t>
            </w:r>
            <w:r>
              <w:rPr>
                <w:rFonts w:hint="eastAsia" w:hAnsi="Arial" w:cs="Arial"/>
                <w:kern w:val="0"/>
                <w:sz w:val="24"/>
              </w:rPr>
              <w:t>/面罩。</w:t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/>
                <w:kern w:val="0"/>
                <w:sz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/>
                <w:kern w:val="0"/>
                <w:sz w:val="24"/>
              </w:rPr>
              <w:t>使用局部排风或全面通风，保持工作场所空气中浓度低于职业接触限值；工作场所设置洗眼器与安全淋浴设施。</w:t>
            </w:r>
          </w:p>
        </w:tc>
      </w:tr>
      <w:tr w14:paraId="7F1E8C3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9860" w:type="dxa"/>
            <w:gridSpan w:val="5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5F92136">
            <w:pPr>
              <w:spacing w:line="300" w:lineRule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/>
                <w:b/>
                <w:sz w:val="24"/>
              </w:rPr>
              <w:t>工作场所组分控制参数</w:t>
            </w:r>
          </w:p>
        </w:tc>
      </w:tr>
      <w:tr w14:paraId="0B7B210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E67E1A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物质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E89288B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依据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4BECAC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类型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1B1942F">
            <w:pPr>
              <w:spacing w:line="300" w:lineRule="auto"/>
              <w:jc w:val="both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数值</w:t>
            </w:r>
          </w:p>
        </w:tc>
      </w:tr>
      <w:tr w14:paraId="4FE453F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52D7AC4">
            <w:pPr>
              <w:spacing w:line="300" w:lineRule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六亚甲基-</w:t>
            </w: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,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-二异氰酸酯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6975D77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5EAACCE3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D702FD5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0</w:t>
            </w:r>
            <w:r>
              <w:rPr>
                <w:sz w:val="24"/>
              </w:rPr>
              <w:t xml:space="preserve">.03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14:paraId="2D7FCD9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193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4D57865C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丙二醇甲醚醋酸酯</w:t>
            </w:r>
          </w:p>
        </w:tc>
        <w:tc>
          <w:tcPr>
            <w:tcW w:w="1737" w:type="dxa"/>
            <w:gridSpan w:val="2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23247551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CN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OEL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top"/>
          </w:tcPr>
          <w:p w14:paraId="0506146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TWA</w:t>
            </w:r>
          </w:p>
        </w:tc>
        <w:tc>
          <w:tcPr>
            <w:tcW w:w="2465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AD0DDD">
            <w:pPr>
              <w:spacing w:line="300" w:lineRule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</w:rPr>
              <w:t xml:space="preserve">100 </w:t>
            </w:r>
            <w:r>
              <w:rPr>
                <w:rFonts w:hint="eastAsia"/>
                <w:sz w:val="24"/>
              </w:rPr>
              <w:t>mg</w:t>
            </w:r>
            <w:r>
              <w:rPr>
                <w:sz w:val="24"/>
              </w:rPr>
              <w:t>/m</w:t>
            </w:r>
            <w:r>
              <w:rPr>
                <w:sz w:val="24"/>
                <w:vertAlign w:val="superscript"/>
              </w:rPr>
              <w:t>3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嗅觉阈值：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9.3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pH值（1%水溶液）：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7-9</w:t>
            </w:r>
          </w:p>
        </w:tc>
      </w:tr>
      <w:tr w14:paraId="1B7A2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3EF5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离子性：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1B72DBC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非离子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9.6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闪点：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9.7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蒸发速率：    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9.8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 燃烧值：   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E540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8829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饱和蒸气压：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8B70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密度： 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9.14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 xml:space="preserve">表面张力：  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9.15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9.16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9.17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75A98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5CA8D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9.18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分解温度：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25D0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9.19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动力粘度：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9AEBE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7CF3C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9.20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爆炸特性：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BB4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45688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D27CA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9.21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粉尘爆炸级别：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AF3D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9.22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9.23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无数据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 w:firstLine="26" w:firstLineChars="1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在推荐储存和操作条件下稳定。避免冻结、过热和长期阳光照射。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/>
                <w:sz w:val="24"/>
              </w:rPr>
              <w:t>受热分解或燃烧可能产生一氧化碳、二氧化碳、氮氧化物及刺激性烟气。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正常使用条件下无已知危险反应；</w:t>
            </w:r>
          </w:p>
        </w:tc>
      </w:tr>
      <w:tr w14:paraId="0D0A5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678608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应避免的条件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8B7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  <w:tr w14:paraId="43766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shd w:val="clear" w:color="auto" w:fill="auto"/>
            <w:vAlign w:val="center"/>
          </w:tcPr>
          <w:p w14:paraId="7D5C17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10.5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禁配物：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1201E2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eastAsia="宋体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single" w:color="auto" w:sz="4" w:space="0"/>
              <w:bottom w:val="dotted" w:color="auto" w:sz="4" w:space="0"/>
            </w:tcBorders>
          </w:tcPr>
          <w:p w14:paraId="7851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该产品无可用的毒理学研究。</w:t>
            </w:r>
          </w:p>
        </w:tc>
      </w:tr>
      <w:tr w14:paraId="0D17F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</w:tcPr>
          <w:p w14:paraId="3ABAC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leftChars="16" w:right="48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（CAS号：112-34-5）的毒理学参考数据：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B72C76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急性毒性：</w:t>
            </w: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CFEB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经口：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EC89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半数致死剂量（LD50）/大鼠：约3,306 mg/kg。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9D3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吸入：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9B94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 xml:space="preserve">半数致死浓度（LC50）/4 h/大鼠： ＞1.5 mg/L（气溶胶）。 </w:t>
            </w:r>
          </w:p>
        </w:tc>
      </w:tr>
      <w:tr w14:paraId="50E3B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4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F24CB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311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B84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b/>
                <w:bCs/>
                <w:sz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lang w:val="en-US" w:eastAsia="zh-CN"/>
              </w:rPr>
              <w:t>经皮：</w:t>
            </w:r>
          </w:p>
        </w:tc>
        <w:tc>
          <w:tcPr>
            <w:tcW w:w="4951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146B6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半数致死剂量（LD50）/兔：2,764 mg/kg。</w:t>
            </w:r>
          </w:p>
        </w:tc>
      </w:tr>
      <w:tr w14:paraId="2B060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ED0690">
            <w:pPr>
              <w:keepNext w:val="0"/>
              <w:numPr>
                <w:ilvl w:val="1"/>
                <w:numId w:val="0"/>
              </w:numPr>
              <w:spacing w:line="300" w:lineRule="auto"/>
              <w:ind w:left="599" w:leftChars="16" w:hanging="565" w:hangingChars="268"/>
              <w:jc w:val="both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FC9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2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根据现有数据，二乙二醇单丁醚未达到急性经口、 经皮或气溶胶吸入毒性的分类标准。</w:t>
            </w:r>
          </w:p>
        </w:tc>
      </w:tr>
      <w:tr w14:paraId="27346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C3C70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11.2</w:t>
            </w: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</w:rPr>
              <w:t>主要皮肤刺激性：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0502D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6419A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根据现有数据，不属于皮肤腐蚀或皮肤刺激类</w:t>
            </w:r>
          </w:p>
          <w:p w14:paraId="3642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长时间或反复接触可能造成皮肤干燥</w:t>
            </w:r>
          </w:p>
        </w:tc>
      </w:tr>
      <w:tr w14:paraId="577A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5D2D0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主要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眼睛</w:t>
            </w:r>
            <w:r>
              <w:rPr>
                <w:rFonts w:hint="eastAsia" w:hAnsi="Arial"/>
                <w:b/>
                <w:sz w:val="24"/>
              </w:rPr>
              <w:t>刺激性：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66A0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物种：兔子</w:t>
            </w:r>
          </w:p>
          <w:p w14:paraId="40548A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分类：刺激眼睛</w:t>
            </w:r>
          </w:p>
          <w:p w14:paraId="7B707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未稀释的二乙二醇单丁醚可造成明显眼睛刺激，</w:t>
            </w:r>
          </w:p>
        </w:tc>
      </w:tr>
      <w:tr w14:paraId="6EF8B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6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CA5A11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致敏性：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FBF7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物种：</w:t>
            </w:r>
            <w:r>
              <w:rPr>
                <w:rFonts w:ascii="宋体" w:hAnsi="宋体" w:eastAsia="宋体" w:cs="宋体"/>
                <w:sz w:val="24"/>
                <w:szCs w:val="24"/>
              </w:rPr>
              <w:t>豚鼠</w:t>
            </w:r>
          </w:p>
          <w:p w14:paraId="40806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分类：</w:t>
            </w:r>
            <w:r>
              <w:rPr>
                <w:rFonts w:ascii="宋体" w:hAnsi="宋体" w:eastAsia="宋体" w:cs="宋体"/>
                <w:sz w:val="24"/>
                <w:szCs w:val="24"/>
              </w:rPr>
              <w:t>根据现有资料，不属于皮肤致敏物质</w:t>
            </w:r>
          </w:p>
          <w:p w14:paraId="12A8D6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结果：</w:t>
            </w:r>
            <w:r>
              <w:rPr>
                <w:rFonts w:ascii="宋体" w:hAnsi="宋体" w:eastAsia="宋体" w:cs="宋体"/>
                <w:sz w:val="24"/>
                <w:szCs w:val="24"/>
              </w:rPr>
              <w:t>动物试验中未观察到皮肤过敏反应。</w:t>
            </w:r>
          </w:p>
        </w:tc>
      </w:tr>
      <w:tr w14:paraId="523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7B49E7B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11.5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致突变性：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75415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0" w:leftChars="0"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多数细菌回复突变试验及染色体畸变试验结果为阴性。 部分体外基因突变试验结果存在差异。</w:t>
            </w:r>
          </w:p>
        </w:tc>
      </w:tr>
      <w:tr w14:paraId="1F234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3115F2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11.6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致癌性：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093BE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在动物试验中未见致癌影响。</w:t>
            </w:r>
          </w:p>
        </w:tc>
      </w:tr>
      <w:tr w14:paraId="6407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restart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9F8E95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11.7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生殖毒性：</w:t>
            </w: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632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hint="default" w:hAnsi="Arial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生育力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96E9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71177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7CBC02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1059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960" w:hanging="964" w:hangingChars="400"/>
              <w:jc w:val="left"/>
              <w:textAlignment w:val="auto"/>
              <w:rPr>
                <w:rFonts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致畸形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1696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56A2A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vMerge w:val="continue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60C53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946" w:type="dxa"/>
            <w:gridSpan w:val="2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03F8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宋体" w:hAnsi="宋体" w:cs="宋体"/>
                <w:b/>
                <w:bCs/>
                <w:sz w:val="24"/>
              </w:rPr>
            </w:pPr>
            <w:r>
              <w:rPr>
                <w:rFonts w:hint="eastAsia" w:ascii="宋体" w:hAnsi="宋体" w:cs="宋体"/>
                <w:b/>
                <w:bCs/>
                <w:sz w:val="24"/>
              </w:rPr>
              <w:t>体外遗传毒性</w:t>
            </w:r>
          </w:p>
        </w:tc>
        <w:tc>
          <w:tcPr>
            <w:tcW w:w="431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0D12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</w:p>
        </w:tc>
      </w:tr>
      <w:tr w14:paraId="657E7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66F4390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11.8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特异性靶器官系统毒性（一次接触/反复接触）：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5D0C0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根据现有资料，未达到特异性靶器官毒性 一次接触的分类标准。</w:t>
            </w:r>
          </w:p>
        </w:tc>
      </w:tr>
      <w:tr w14:paraId="4CDF0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AF3F3AE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11.9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吸入危险：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59099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eastAsia" w:hAnsi="Arial"/>
                <w:sz w:val="24"/>
                <w:lang w:val="en-US" w:eastAsia="zh-CN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  <w:tr w14:paraId="3A7F6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3519" w:type="dxa"/>
            <w:tcBorders>
              <w:top w:val="dotted" w:color="auto" w:sz="4" w:space="0"/>
              <w:right w:val="dotted" w:color="auto" w:sz="4" w:space="0"/>
            </w:tcBorders>
            <w:vAlign w:val="center"/>
          </w:tcPr>
          <w:p w14:paraId="2CE8DB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eastAsia" w:hAnsi="Arial"/>
                <w:b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11.10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附加信息：</w:t>
            </w:r>
          </w:p>
        </w:tc>
        <w:tc>
          <w:tcPr>
            <w:tcW w:w="6262" w:type="dxa"/>
            <w:gridSpan w:val="3"/>
            <w:tcBorders>
              <w:top w:val="dotted" w:color="auto" w:sz="4" w:space="0"/>
              <w:left w:val="dotted" w:color="auto" w:sz="4" w:space="0"/>
            </w:tcBorders>
          </w:tcPr>
          <w:p w14:paraId="715C3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眼睛接触可能造成明显刺激、发红及疼痛。</w:t>
            </w:r>
          </w:p>
          <w:p w14:paraId="546BA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 xml:space="preserve">长时间或反复皮肤接触可能造成轻微刺激、 皮肤发红或皮肤干燥。 </w:t>
            </w:r>
          </w:p>
          <w:p w14:paraId="2A99A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正常温度下蒸气压较低，单次蒸气暴露通常不预期造成明显不良影响；</w:t>
            </w:r>
          </w:p>
          <w:p w14:paraId="3F859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0"/>
              <w:jc w:val="left"/>
              <w:textAlignment w:val="auto"/>
              <w:rPr>
                <w:rFonts w:hint="default" w:hAnsi="Arial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喷涂、加热或形成气溶胶时， 应保持良好通风并避免吸入。 误食较大剂量可能造成不适。</w:t>
            </w: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3173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580B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b/>
                <w:sz w:val="24"/>
                <w:shd w:val="clear" w:color="auto" w:fill="auto"/>
              </w:rPr>
            </w:pPr>
            <w:r>
              <w:rPr>
                <w:rFonts w:hint="eastAsia" w:hAnsi="Arial"/>
                <w:sz w:val="24"/>
                <w:shd w:val="clear" w:color="auto" w:fill="auto"/>
              </w:rPr>
              <w:t>该产品无可用的生态毒理学研究。</w:t>
            </w:r>
          </w:p>
        </w:tc>
      </w:tr>
      <w:tr w14:paraId="3AB6E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gridSpan w:val="2"/>
            <w:tcBorders>
              <w:top w:val="dotted" w:color="auto" w:sz="4" w:space="0"/>
              <w:bottom w:val="dotted" w:color="auto" w:sz="4" w:space="0"/>
            </w:tcBorders>
            <w:shd w:val="clear" w:color="auto" w:fill="auto"/>
            <w:vAlign w:val="center"/>
          </w:tcPr>
          <w:p w14:paraId="716ED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hint="eastAsia" w:hAnsi="Arial"/>
                <w:sz w:val="24"/>
                <w:shd w:val="clear" w:color="auto" w:fill="auto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以下为二乙二醇单丁醚 （CAS号：112-34-5）的生态毒理学参考数据：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对鱼类的毒性：</w:t>
            </w:r>
          </w:p>
          <w:p w14:paraId="32D8BB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半数致死浓度（LC50）/96 h/ 蓝鳃太阳鱼：1,300 mg/L</w:t>
            </w:r>
          </w:p>
          <w:p w14:paraId="6D87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  <w:t>其他：</w:t>
            </w:r>
          </w:p>
          <w:p w14:paraId="1BA672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生物量半数有效浓度（EbC50）/96 h/ 绿藻：＞100 mg/L。 半数有效浓度（EC50）/48 h/ 大型溞：＞100 mg/L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生物降解率：89%—93%，28 d</w:t>
            </w:r>
          </w:p>
          <w:p w14:paraId="7FBC7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试验方法：OECD 301C或等效方法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无数据资料。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必须遵守适用的国标、国家或当地法规进行废弃。</w:t>
            </w:r>
          </w:p>
          <w:p w14:paraId="1E572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在欧盟领域内废弃，应根据欧洲废弃物分类（</w:t>
            </w:r>
            <w:r>
              <w:rPr>
                <w:sz w:val="24"/>
              </w:rPr>
              <w:t>EWC</w:t>
            </w:r>
            <w:r>
              <w:rPr>
                <w:rFonts w:hint="eastAsia" w:hAnsi="Arial"/>
                <w:sz w:val="24"/>
              </w:rPr>
              <w:t>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tabs>
                <w:tab w:val="left" w:pos="3275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尽可能将容器倒空（例如经倾倒，刮擦或排干直至</w:t>
            </w:r>
            <w:r>
              <w:rPr>
                <w:rFonts w:hint="eastAsia"/>
                <w:sz w:val="24"/>
              </w:rPr>
              <w:t>“</w:t>
            </w:r>
            <w:r>
              <w:rPr>
                <w:rFonts w:hint="eastAsia" w:hAnsi="Arial"/>
                <w:sz w:val="24"/>
              </w:rPr>
              <w:t>滴干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 w:hAnsi="Arial"/>
                <w:sz w:val="24"/>
              </w:rPr>
              <w:t>）</w:t>
            </w:r>
          </w:p>
          <w:p w14:paraId="6EB8C2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可根据化学工业现存的回收方案送往适当的收集点处理。</w:t>
            </w:r>
          </w:p>
          <w:p w14:paraId="431F0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容器应按照国家法令和环境相关法规进行回收。</w:t>
            </w:r>
          </w:p>
          <w:p w14:paraId="5A41B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both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/>
                <w:sz w:val="24"/>
              </w:rPr>
              <w:t>不能将废弃物通过废水排放。</w:t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非危险品陆运输方式。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非危险品海运方式。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sz w:val="24"/>
              </w:rPr>
              <w:t>非危险品运输方式。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</w:rPr>
              <w:t>非危险货物。</w:t>
            </w:r>
          </w:p>
          <w:p w14:paraId="2658A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/>
                <w:sz w:val="24"/>
                <w:lang w:val="en-US" w:eastAsia="zh-CN"/>
              </w:rPr>
              <w:t>避免</w:t>
            </w:r>
            <w:r>
              <w:rPr>
                <w:rFonts w:hint="eastAsia" w:hAnsi="Arial"/>
                <w:sz w:val="24"/>
              </w:rPr>
              <w:t>温度高于</w:t>
            </w:r>
            <w:r>
              <w:rPr>
                <w:sz w:val="24"/>
              </w:rPr>
              <w:t>+</w:t>
            </w:r>
            <w:r>
              <w:rPr>
                <w:rFonts w:hint="eastAsia"/>
                <w:sz w:val="24"/>
                <w:lang w:val="en-US" w:eastAsia="zh-CN"/>
              </w:rPr>
              <w:t>35</w:t>
            </w:r>
            <w:r>
              <w:rPr>
                <w:rFonts w:hint="eastAsia"/>
                <w:sz w:val="24"/>
              </w:rPr>
              <w:t>℃，温度不可低于</w:t>
            </w:r>
            <w:r>
              <w:rPr>
                <w:rFonts w:hint="eastAsia"/>
                <w:sz w:val="24"/>
                <w:lang w:val="en-US" w:eastAsia="zh-CN"/>
              </w:rPr>
              <w:t>+</w:t>
            </w:r>
            <w:r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℃。</w:t>
            </w:r>
          </w:p>
          <w:p w14:paraId="504BE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sz w:val="24"/>
              </w:rPr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/>
                <w:bCs/>
                <w:kern w:val="0"/>
                <w:sz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危险化学品安全管理条例，国务院令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591</w:t>
            </w:r>
            <w:r>
              <w:rPr>
                <w:rFonts w:hint="eastAsia" w:cs="Arial"/>
                <w:bCs/>
                <w:kern w:val="0"/>
                <w:sz w:val="24"/>
              </w:rPr>
              <w:t>号</w:t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GB/T 16483 </w:t>
            </w:r>
            <w:r>
              <w:rPr>
                <w:rFonts w:hint="eastAsia" w:cs="Arial"/>
                <w:bCs/>
                <w:kern w:val="0"/>
                <w:sz w:val="24"/>
              </w:rPr>
              <w:t>化学品安全技术说明书内容和项目顺序</w:t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13690 </w:t>
            </w:r>
            <w:r>
              <w:rPr>
                <w:rFonts w:hint="eastAsia" w:cs="Arial"/>
                <w:bCs/>
                <w:kern w:val="0"/>
                <w:sz w:val="24"/>
              </w:rPr>
              <w:t>化学品分类和危险性公示通则</w:t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/>
                <w:bCs/>
                <w:kern w:val="0"/>
                <w:sz w:val="24"/>
              </w:rPr>
              <w:t xml:space="preserve">GB 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30000.2-29 化学品分类和标签规范</w:t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/>
                <w:bCs/>
                <w:kern w:val="0"/>
                <w:sz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EA</w:t>
          </w:r>
          <w:r>
            <w:rPr>
              <w:rFonts w:hint="eastAsia"/>
              <w:kern w:val="0"/>
              <w:sz w:val="21"/>
              <w:szCs w:val="21"/>
            </w:rPr>
            <w:t>-</w:t>
          </w:r>
          <w:r>
            <w:rPr>
              <w:rFonts w:hint="eastAsia"/>
              <w:kern w:val="0"/>
              <w:sz w:val="21"/>
              <w:szCs w:val="21"/>
              <w:lang w:val="en-US" w:eastAsia="zh-CN"/>
            </w:rPr>
            <w:t>4139</w:t>
          </w:r>
          <w:r>
            <w:rPr>
              <w:rFonts w:hint="eastAsia"/>
              <w:kern w:val="0"/>
              <w:sz w:val="21"/>
              <w:szCs w:val="21"/>
            </w:rPr>
            <w:t>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P修订日期：2026年08月05日  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</w:t>
    </w:r>
    <w:r>
      <w:rPr>
        <w:rFonts w:hint="eastAsia" w:cs="Arial" w:asciiTheme="majorEastAsia" w:hAnsiTheme="majorEastAsia" w:eastAsiaTheme="majorEastAsia"/>
        <w:b/>
        <w:sz w:val="44"/>
        <w:szCs w:val="44"/>
      </w:rPr>
      <w:t>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</w:t>
    </w:r>
    <w:r>
      <w:rPr>
        <w:rFonts w:hint="eastAsia" w:ascii="Arial" w:eastAsia="楷体_GB2312"/>
        <w:sz w:val="18"/>
        <w:szCs w:val="18"/>
        <w:lang w:val="en-US" w:eastAsia="zh-CN"/>
      </w:rPr>
      <w:t>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PEA-4139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