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rPr>
                <w:b/>
                <w:sz w:val="24"/>
              </w:rPr>
              <w:jc w:val="left"/>
            </w:pPr>
            <w:r>
              <w:rPr>
                <w:rFonts w:ascii="Arial" w:hAnsi="Arial" w:eastAsia="Arial" w:cs="Arial"/>
                <w:sz w:val="19"/>
                <w:szCs w:val="19"/>
                <w:b/>
              </w:rPr>
              <w:t xml:space="preserve">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1.1</w:t>
              <w:tab/>
            </w:r>
            <w:r>
              <w:rPr>
                <w:rFonts w:ascii="Arial" w:hAnsi="Arial" w:eastAsia="Arial" w:cs="Arial"/>
                <w:b/>
                <w:sz w:val="19"/>
                <w:szCs w:val="19"/>
              </w:rPr>
              <w:t xml:space="preserve">Product 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sz w:val="24"/>
                <w:szCs w:val="24"/>
                <w:lang w:val="en-US" w:eastAsia="zh-CN"/>
              </w:rPr>
              <w:jc w:val="left"/>
            </w:pPr>
            <w:r>
              <w:rPr>
                <w:bCs w:val="0"/>
                <w:rFonts w:ascii="Arial" w:hAnsi="Arial" w:eastAsia="Arial" w:cs="Arial"/>
                <w:sz w:val="19"/>
                <w:szCs w:val="19"/>
              </w:rPr>
              <w:t>Aqueous acrylic dispersion PA-3223</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Chemical category:</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val="en-US" w:eastAsia="zh-CN"/>
              </w:rPr>
              <w:jc w:val="left"/>
            </w:pPr>
            <w:r>
              <w:rPr>
                <w:bCs w:val="0"/>
                <w:lang w:val="en-US" w:eastAsia="zh-CN"/>
                <w:rFonts w:ascii="Arial" w:hAnsi="Arial" w:eastAsia="Arial" w:cs="Arial"/>
                <w:sz w:val="19"/>
                <w:szCs w:val="19"/>
              </w:rPr>
              <w:t>Aqueous acrylic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w:t>
              <w:tab/>
            </w:r>
            <w:r>
              <w:rPr>
                <w:rFonts w:ascii="Arial" w:hAnsi="Arial" w:eastAsia="Arial" w:cs="Arial"/>
                <w:b/>
                <w:sz w:val="19"/>
                <w:szCs w:val="19"/>
              </w:rPr>
              <w:t xml:space="preserve">Product use suggestions and restrictions:</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textAlignment w:val="auto"/>
              <w:rPr>
                <w:rFonts w:hint="default" w:eastAsia="宋体"/>
                <w:sz w:val="24"/>
                <w:szCs w:val="24"/>
                <w:lang w:val="en-US" w:eastAsia="zh-CN"/>
              </w:rPr>
              <w:jc w:val="left"/>
            </w:pPr>
            <w:r>
              <w:rPr>
                <w:bCs w:val="0"/>
                <w:lang w:val="en-US" w:eastAsia="zh-CN"/>
                <w:rFonts w:ascii="Arial" w:hAnsi="Arial" w:eastAsia="Arial" w:cs="Arial"/>
                <w:sz w:val="19"/>
                <w:szCs w:val="19"/>
              </w:rPr>
              <w:t>Used in coatings.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1.3</w:t>
              <w:tab/>
            </w:r>
            <w:r>
              <w:rPr>
                <w:rFonts w:ascii="Arial" w:hAnsi="Arial" w:eastAsia="Arial" w:cs="Arial"/>
                <w:b/>
                <w:sz w:val="19"/>
                <w:szCs w:val="19"/>
              </w:rPr>
              <w:t xml:space="preserve">Supplier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Name of supplier:</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cs="宋体"/>
                <w:sz w:val="24"/>
                <w:szCs w:val="24"/>
                <w:lang w:val="en-US" w:eastAsia="zh-CN"/>
              </w:rPr>
              <w:jc w:val="left"/>
            </w:pPr>
            <w:r>
              <w:rPr>
                <w:bCs w:val="0"/>
                <w:lang w:val="en-US" w:eastAsia="zh-CN"/>
                <w:rFonts w:ascii="Arial" w:hAnsi="Arial" w:eastAsia="Arial" w:cs="Arial"/>
                <w:sz w:val="19"/>
                <w:szCs w:val="19"/>
              </w:rPr>
              <w:t>Yingde Guocai New Material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rPr>
              <w:ind w:left="420"/>
            </w:pPr>
            <w:r>
              <w:rPr>
                <w:rFonts w:ascii="Arial" w:hAnsi="Arial" w:eastAsia="Arial" w:cs="Arial"/>
                <w:b/>
                <w:sz w:val="19"/>
                <w:szCs w:val="19"/>
              </w:rPr>
              <w:t xml:space="preserve">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eastAsia="zh-CN"/>
              </w:rPr>
              <w:jc w:val="left"/>
            </w:pPr>
            <w:r>
              <w:rPr>
                <w:bCs w:val="0"/>
                <w:lang w:val="en-US" w:eastAsia="zh-CN"/>
                <w:rFonts w:ascii="Arial" w:hAnsi="Arial" w:eastAsia="Arial" w:cs="Arial"/>
                <w:sz w:val="19"/>
                <w:szCs w:val="19"/>
              </w:rPr>
              <w:t>Kaidi Industrial Park, Genggukeng, Taiping Village, Baisha Town, Yingde, Guangdong, China</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Tel:</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86-763-2811205</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Fax:</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86-763-2811024</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rPr>
                <w:b/>
                <w:sz w:val="24"/>
              </w:rPr>
            </w:pPr>
            <w:r>
              <w:rPr>
                <w:rFonts w:ascii="Arial" w:hAnsi="Arial" w:eastAsia="Arial" w:cs="Arial"/>
                <w:b/>
                <w:sz w:val="22"/>
                <w:szCs w:val="22"/>
              </w:rPr>
              <w:t xml:space="preserve">2.Hazards Identification</w:t>
            </w:r>
          </w:p>
        </w:tc>
      </w:tr>
      <w:tr w14:paraId="6D7029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95" w:type="dxa"/>
            <w:gridSpan w:val="2"/>
            <w:vAlign w:val="center"/>
            <w:tcBorders>
              <w:top w:val="dotted" w:color="auto" w:sz="4" w:space="0"/>
              <w:bottom w:val="dotted" w:color="auto" w:sz="4" w:space="0"/>
              <w:right w:val="dotted" w:color="auto" w:sz="4" w:space="0"/>
            </w:tcBorders>
          </w:tcPr>
          <w:p>
            <w:pPr>
              <w:spacing w:line="300" w:lineRule="auto"/>
              <w:jc w:val="left"/>
            </w:pPr>
            <w:r>
              <w:rPr>
                <w:rFonts w:ascii="Arial" w:hAnsi="Arial" w:eastAsia="Arial" w:cs="Arial"/>
                <w:sz w:val="19"/>
                <w:szCs w:val="19"/>
              </w:rPr>
              <w:t xml:space="preserve">GHS hazard classification: Not classified as a hazardous chemical according to GHS.</w:t>
            </w:r>
          </w:p>
          <w:p>
            <w:pPr>
              <w:jc w:val="left"/>
              <w:spacing w:line="300" w:lineRule="auto"/>
            </w:pPr>
            <w:r>
              <w:rPr>
                <w:rFonts w:ascii="Arial" w:hAnsi="Arial"/>
                <w:sz w:val="19"/>
                <w:b/>
              </w:rPr>
              <w:t xml:space="preserve">Hydroxy acrylic polymer GHS classification: Not applicable;</w:t>
            </w:r>
          </w:p>
          <w:p>
            <w:pPr>
              <w:jc w:val="left"/>
              <w:spacing w:line="300" w:lineRule="auto"/>
            </w:pPr>
            <w:r>
              <w:rPr>
                <w:rFonts w:ascii="Arial" w:hAnsi="Arial"/>
                <w:sz w:val="19"/>
                <w:b/>
              </w:rPr>
              <w:t xml:space="preserve">Label elements:</w:t>
            </w:r>
          </w:p>
          <w:p>
            <w:pPr>
              <w:jc w:val="left"/>
              <w:spacing w:line="300" w:lineRule="auto"/>
            </w:pPr>
            <w:r>
              <w:rPr>
                <w:rFonts w:ascii="Arial" w:hAnsi="Arial"/>
                <w:sz w:val="19"/>
              </w:rPr>
              <w:t xml:space="preserve">Please note the following substance:</w:t>
            </w:r>
          </w:p>
          <w:p>
            <w:pPr>
              <w:jc w:val="left"/>
              <w:spacing w:line="300" w:lineRule="auto"/>
            </w:pPr>
            <w:r>
              <w:rPr>
                <w:rFonts w:ascii="Arial" w:hAnsi="Arial"/>
                <w:sz w:val="19"/>
              </w:rPr>
              <w:t xml:space="preserve">N,N-Dimethylethanolamine, neutralizing agent, bonded as salt, mass concentration &lt; 2.0%, specific concentration limit &gt;= 5%</w:t>
            </w:r>
          </w:p>
          <w:p>
            <w:pPr>
              <w:jc w:val="left"/>
              <w:spacing w:line="300" w:lineRule="auto"/>
            </w:pPr>
            <w:r>
              <w:rPr>
                <w:rFonts w:ascii="Arial" w:hAnsi="Arial"/>
                <w:sz w:val="19"/>
              </w:rPr>
              <w:t xml:space="preserve">GHS classification:</w:t>
            </w:r>
          </w:p>
          <w:p>
            <w:pPr>
              <w:jc w:val="left"/>
              <w:spacing w:line="300" w:lineRule="auto"/>
            </w:pPr>
            <w:r>
              <w:rPr>
                <w:rFonts w:ascii="Arial" w:hAnsi="Arial"/>
                <w:sz w:val="19"/>
              </w:rPr>
              <w:t xml:space="preserve">Flammable liquid (Category 3), H226;</w:t>
            </w:r>
          </w:p>
          <w:p>
            <w:pPr>
              <w:jc w:val="left"/>
              <w:spacing w:line="300" w:lineRule="auto"/>
            </w:pPr>
            <w:r>
              <w:rPr>
                <w:rFonts w:ascii="Arial" w:hAnsi="Arial"/>
                <w:sz w:val="19"/>
              </w:rPr>
              <w:t xml:space="preserve">Acute toxicity, Inhalation (Category 4), H332;</w:t>
            </w:r>
          </w:p>
          <w:p>
            <w:pPr>
              <w:jc w:val="left"/>
              <w:spacing w:line="300" w:lineRule="auto"/>
            </w:pPr>
            <w:r>
              <w:rPr>
                <w:rFonts w:ascii="Arial" w:hAnsi="Arial"/>
                <w:sz w:val="19"/>
              </w:rPr>
              <w:t xml:space="preserve">Acute toxicity, Dermal (Category 4), H312;</w:t>
            </w:r>
          </w:p>
          <w:p>
            <w:pPr>
              <w:jc w:val="left"/>
              <w:spacing w:line="300" w:lineRule="auto"/>
            </w:pPr>
            <w:r>
              <w:rPr>
                <w:rFonts w:ascii="Arial" w:hAnsi="Arial"/>
                <w:sz w:val="19"/>
              </w:rPr>
              <w:t xml:space="preserve">Skin corrosion (Category 1B), H314;</w:t>
            </w:r>
          </w:p>
          <w:p>
            <w:pPr>
              <w:jc w:val="left"/>
              <w:spacing w:line="300" w:lineRule="auto"/>
            </w:pPr>
            <w:r>
              <w:rPr>
                <w:rFonts w:ascii="Arial" w:hAnsi="Arial"/>
                <w:sz w:val="19"/>
              </w:rPr>
              <w:t xml:space="preserve">Specific target organ toxicity - single exposure (Category 3), H335</w:t>
            </w:r>
          </w:p>
          <w:p>
            <w:pPr>
              <w:jc w:val="left"/>
              <w:spacing w:line="300" w:lineRule="auto"/>
            </w:pPr>
            <w:r>
              <w:rPr>
                <w:rFonts w:ascii="Arial" w:hAnsi="Arial"/>
                <w:sz w:val="19"/>
              </w:rPr>
              <w:t xml:space="preserve">Specific target organ toxicity - single exposure (Category 3), H335</w:t>
            </w:r>
          </w:p>
          <w:p>
            <w:pPr>
              <w:jc w:val="left"/>
              <w:spacing w:line="300" w:lineRule="auto"/>
            </w:pPr>
            <w:r>
              <w:rPr>
                <w:rFonts w:ascii="Arial" w:hAnsi="Arial"/>
                <w:sz w:val="19"/>
                <w:b/>
              </w:rPr>
              <w:t xml:space="preserve">GHS pictograms: None</w:t>
            </w:r>
          </w:p>
          <w:p>
            <w:pPr>
              <w:jc w:val="left"/>
              <w:spacing w:line="300" w:lineRule="auto"/>
            </w:pPr>
            <w:r>
              <w:rPr>
                <w:rFonts w:ascii="Arial" w:hAnsi="Arial"/>
                <w:sz w:val="19"/>
                <w:b/>
              </w:rPr>
              <w:t xml:space="preserve">Signal word: Warning</w:t>
            </w:r>
          </w:p>
          <w:p>
            <w:pPr>
              <w:jc w:val="left"/>
              <w:spacing w:line="300" w:lineRule="auto"/>
            </w:pPr>
            <w:r>
              <w:rPr>
                <w:rFonts w:ascii="Arial" w:hAnsi="Arial"/>
                <w:sz w:val="19"/>
                <w:b/>
              </w:rPr>
              <w:t xml:space="preserve">Hazard statements: No known significant effects or critical hazards.</w:t>
            </w:r>
          </w:p>
          <w:p>
            <w:pPr>
              <w:jc w:val="left"/>
              <w:spacing w:line="300" w:lineRule="auto"/>
            </w:pPr>
            <w:r>
              <w:rPr>
                <w:rFonts w:ascii="Arial" w:hAnsi="Arial"/>
                <w:sz w:val="19"/>
                <w:b/>
              </w:rPr>
              <w:t xml:space="preserve">Precautionary statements:</w:t>
            </w:r>
          </w:p>
          <w:p>
            <w:pPr>
              <w:jc w:val="left"/>
              <w:spacing w:line="300" w:lineRule="auto"/>
            </w:pPr>
            <w:r>
              <w:rPr>
                <w:rFonts w:ascii="Arial" w:hAnsi="Arial"/>
                <w:sz w:val="19"/>
                <w:b/>
              </w:rPr>
              <w:t xml:space="preserve">Prevention:</w:t>
            </w:r>
          </w:p>
          <w:p>
            <w:pPr>
              <w:jc w:val="left"/>
              <w:spacing w:line="300" w:lineRule="auto"/>
            </w:pPr>
            <w:r>
              <w:rPr>
                <w:rFonts w:ascii="Arial" w:hAnsi="Arial"/>
                <w:sz w:val="19"/>
              </w:rPr>
              <w:t xml:space="preserve">Wear protective gloves, eye protection and protective clothing during operation.</w:t>
            </w:r>
          </w:p>
          <w:p>
            <w:pPr>
              <w:jc w:val="left"/>
              <w:spacing w:line="300" w:lineRule="auto"/>
            </w:pPr>
            <w:r>
              <w:rPr>
                <w:rFonts w:ascii="Arial" w:hAnsi="Arial"/>
                <w:sz w:val="19"/>
              </w:rPr>
              <w:t xml:space="preserve">Wash contact areas thoroughly after handling.</w:t>
            </w:r>
          </w:p>
          <w:p>
            <w:pPr>
              <w:jc w:val="left"/>
              <w:spacing w:line="300" w:lineRule="auto"/>
            </w:pPr>
            <w:r>
              <w:rPr>
                <w:rFonts w:ascii="Arial" w:hAnsi="Arial"/>
                <w:sz w:val="19"/>
              </w:rPr>
              <w:t xml:space="preserve">Do not eat, drink or smoke when using this product.</w:t>
            </w:r>
          </w:p>
          <w:p>
            <w:pPr>
              <w:jc w:val="left"/>
              <w:spacing w:line="300" w:lineRule="auto"/>
            </w:pPr>
            <w:r>
              <w:rPr>
                <w:rFonts w:ascii="Arial" w:hAnsi="Arial"/>
                <w:sz w:val="19"/>
              </w:rPr>
              <w:t xml:space="preserve">Use only outdoors or in a well-ventilated area.</w:t>
            </w:r>
          </w:p>
          <w:p>
            <w:pPr>
              <w:jc w:val="left"/>
              <w:spacing w:line="300" w:lineRule="auto"/>
            </w:pPr>
            <w:r>
              <w:rPr>
                <w:rFonts w:ascii="Arial" w:hAnsi="Arial"/>
                <w:sz w:val="19"/>
                <w:b/>
              </w:rPr>
              <w:t xml:space="preserve">Response:</w:t>
            </w:r>
          </w:p>
          <w:p>
            <w:pPr>
              <w:jc w:val="left"/>
              <w:spacing w:line="300" w:lineRule="auto"/>
            </w:pPr>
            <w:r>
              <w:rPr>
                <w:rFonts w:ascii="Arial" w:hAnsi="Arial"/>
                <w:sz w:val="19"/>
              </w:rPr>
              <w:t xml:space="preserve">Inhalation: If inhaled, get medical advice/attention if you feel unwell.</w:t>
            </w:r>
          </w:p>
          <w:p>
            <w:pPr>
              <w:jc w:val="left"/>
              <w:spacing w:line="300" w:lineRule="auto"/>
            </w:pPr>
            <w:r>
              <w:rPr>
                <w:rFonts w:ascii="Arial" w:hAnsi="Arial"/>
                <w:sz w:val="19"/>
              </w:rPr>
              <w:t xml:space="preserve">Skin and eye contact: Wash thoroughly with soap and water. If irritation persists, seek medical attention.</w:t>
            </w:r>
          </w:p>
          <w:p>
            <w:pPr>
              <w:jc w:val="left"/>
              <w:spacing w:line="300" w:lineRule="auto"/>
            </w:pPr>
            <w:r>
              <w:rPr>
                <w:rFonts w:ascii="Arial" w:hAnsi="Arial"/>
                <w:sz w:val="19"/>
              </w:rPr>
              <w:t xml:space="preserve">Ingestion: Rinse mouth immediately. Do NOT induce vomiting. Immediately seek medical advice/attention.</w:t>
            </w:r>
          </w:p>
          <w:p>
            <w:pPr>
              <w:jc w:val="left"/>
              <w:spacing w:line="300" w:lineRule="auto"/>
            </w:pPr>
            <w:r>
              <w:rPr>
                <w:rFonts w:ascii="Arial" w:hAnsi="Arial"/>
                <w:sz w:val="19"/>
              </w:rPr>
              <w:t xml:space="preserve">Spillage: Collect spillage.</w:t>
            </w:r>
          </w:p>
          <w:p>
            <w:pPr>
              <w:jc w:val="left"/>
              <w:spacing w:line="300" w:lineRule="auto"/>
            </w:pPr>
            <w:r>
              <w:rPr>
                <w:rFonts w:ascii="Arial" w:hAnsi="Arial"/>
                <w:sz w:val="19"/>
              </w:rPr>
              <w:t xml:space="preserve">Fire: In case of fire, use dry powder, foam, or carbon dioxide for extinction.</w:t>
            </w:r>
          </w:p>
          <w:p>
            <w:pPr>
              <w:jc w:val="left"/>
              <w:spacing w:line="300" w:lineRule="auto"/>
            </w:pPr>
            <w:r>
              <w:rPr>
                <w:rFonts w:ascii="Arial" w:hAnsi="Arial"/>
                <w:sz w:val="19"/>
                <w:b/>
              </w:rPr>
              <w:t xml:space="preserve">Storage:</w:t>
            </w:r>
          </w:p>
          <w:p>
            <w:pPr>
              <w:jc w:val="left"/>
              <w:spacing w:line="300" w:lineRule="auto"/>
            </w:pPr>
            <w:r>
              <w:rPr>
                <w:rFonts w:ascii="Arial" w:hAnsi="Arial"/>
                <w:sz w:val="19"/>
              </w:rPr>
              <w:t xml:space="preserve">Store in a cool, dry, well-ventilated place away from light. Maintain storage temperature between 5-35 deg C. Protect from freezing and keep packaging intact. Keep container tightly closed after use and consume promptly once opened.</w:t>
            </w:r>
          </w:p>
          <w:p>
            <w:pPr>
              <w:jc w:val="left"/>
              <w:spacing w:line="300" w:lineRule="auto"/>
            </w:pPr>
            <w:r>
              <w:rPr>
                <w:rFonts w:ascii="Arial" w:hAnsi="Arial"/>
                <w:sz w:val="19"/>
                <w:b/>
              </w:rPr>
              <w:t xml:space="preserve">Disposal:</w:t>
            </w:r>
          </w:p>
          <w:p>
            <w:pPr>
              <w:jc w:val="left"/>
              <w:spacing w:line="300" w:lineRule="auto"/>
            </w:pPr>
            <w:r>
              <w:rPr>
                <w:rFonts w:ascii="Arial" w:hAnsi="Arial"/>
                <w:sz w:val="19"/>
              </w:rPr>
              <w:t xml:space="preserve">Empty containers must not be used to store food or other goods prior to decontamination to prevent harm to human health and the environment. Dispose of packaging in accordance with national and local environmental regulations. Any hazards and losses caused by improper disposal shall be borne by the disposer.</w:t>
            </w:r>
          </w:p>
          <w:p>
            <w:pPr>
              <w:jc w:val="left"/>
              <w:spacing w:line="300" w:lineRule="auto"/>
            </w:pPr>
            <w:r>
              <w:rPr>
                <w:rFonts w:ascii="Arial" w:hAnsi="Arial"/>
                <w:sz w:val="19"/>
                <w:b/>
              </w:rPr>
              <w:t xml:space="preserve">Physical and chemical hazards: May cause contamination to water bodies and soil.</w:t>
            </w:r>
          </w:p>
          <w:p>
            <w:pPr>
              <w:jc w:val="left"/>
              <w:spacing w:line="300" w:lineRule="auto"/>
            </w:pPr>
            <w:r>
              <w:rPr>
                <w:rFonts w:ascii="Arial" w:hAnsi="Arial"/>
                <w:sz w:val="19"/>
                <w:b/>
              </w:rPr>
              <w:t xml:space="preserve">Health hazards: None</w:t>
            </w:r>
          </w:p>
          <w:p>
            <w:pPr>
              <w:jc w:val="left"/>
              <w:spacing w:line="300" w:lineRule="auto"/>
            </w:pPr>
            <w:r>
              <w:rPr>
                <w:rFonts w:ascii="Arial" w:hAnsi="Arial"/>
                <w:sz w:val="19"/>
                <w:b/>
              </w:rPr>
              <w:t xml:space="preserve">Environmental hazards: Prevent entry into drains to avoid polymer deposition and blockage of waterways.</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rPr>
                <w:b/>
                <w:sz w:val="24"/>
              </w:rPr>
            </w:pPr>
            <w:r>
              <w:rPr>
                <w:rFonts w:ascii="Arial" w:hAnsi="Arial" w:eastAsia="Arial" w:cs="Arial"/>
                <w:b/>
                <w:sz w:val="22"/>
                <w:szCs w:val="22"/>
              </w:rPr>
              <w:t xml:space="preserve">3.Composition/Information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3.1</w:t>
              <w:tab/>
            </w:r>
            <w:r>
              <w:rPr>
                <w:rFonts w:ascii="Arial" w:hAnsi="Arial" w:eastAsia="Arial" w:cs="Arial"/>
                <w:b/>
                <w:sz w:val="19"/>
                <w:szCs w:val="19"/>
              </w:rPr>
              <w:t xml:space="preserve">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textAlignment w:val="auto"/>
              <w:rPr>
                <w:rFonts w:cs="Arial"/>
                <w:kern w:val="0"/>
                <w:sz w:val="24"/>
              </w:rPr>
              <w:jc w:val="left"/>
            </w:pPr>
            <w:r>
              <w:rPr>
                <w:bCs w:val="0"/>
                <w:lang w:val="en-US" w:eastAsia="zh-CN"/>
                <w:rFonts w:ascii="Arial" w:hAnsi="Arial" w:eastAsia="Arial" w:cs="Arial"/>
                <w:sz w:val="19"/>
                <w:szCs w:val="19"/>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3.2</w:t>
              <w:tab/>
            </w:r>
            <w:r>
              <w:rPr>
                <w:rFonts w:ascii="Arial" w:hAnsi="Arial" w:eastAsia="Arial" w:cs="Arial"/>
                <w:b/>
                <w:sz w:val="19"/>
                <w:szCs w:val="19"/>
              </w:rPr>
              <w:t xml:space="preserve">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u w:val="single"/>
              </w:rPr>
            </w:pPr>
            <w:r>
              <w:rPr>
                <w:rFonts w:ascii="Arial" w:hAnsi="Arial" w:eastAsia="Arial" w:cs="Arial"/>
                <w:b/>
                <w:sz w:val="19"/>
                <w:szCs w:val="19"/>
              </w:rPr>
              <w:t xml:space="preserve">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b/>
                <w:sz w:val="24"/>
                <w:u w:val="single"/>
              </w:rPr>
            </w:pPr>
            <w:r>
              <w:rPr>
                <w:rFonts w:ascii="Arial" w:hAnsi="Arial" w:eastAsia="Arial" w:cs="Arial"/>
                <w:b/>
                <w:sz w:val="19"/>
                <w:szCs w:val="19"/>
              </w:rPr>
              <w:t xml:space="preserve">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b/>
                <w:sz w:val="24"/>
                <w:u w:val="single"/>
              </w:rPr>
            </w:pPr>
            <w:r>
              <w:rPr>
                <w:rFonts w:ascii="Arial" w:hAnsi="Arial" w:eastAsia="Arial" w:cs="Arial"/>
                <w:b/>
                <w:sz w:val="19"/>
                <w:szCs w:val="19"/>
              </w:rPr>
              <w:t xml:space="preserve">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Hydroxy acrylic polymer</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Trade secret</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46±5</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45.5±5</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Propylene glycol butyl ether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5131-66-8</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7±3</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2-Dimethylaminoethanol</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108-01-0</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1.5±0.5</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rPr>
                <w:b/>
                <w:sz w:val="24"/>
              </w:rPr>
            </w:pPr>
            <w:r>
              <w:rPr>
                <w:rFonts w:ascii="Arial" w:hAnsi="Arial" w:eastAsia="Arial" w:cs="Arial"/>
                <w:b/>
                <w:sz w:val="22"/>
                <w:szCs w:val="22"/>
              </w:rPr>
              <w:t xml:space="preserve">4.First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4.1</w:t>
              <w:tab/>
            </w:r>
            <w:r>
              <w:rPr>
                <w:rFonts w:ascii="Arial" w:hAnsi="Arial" w:eastAsia="Arial" w:cs="Arial"/>
                <w:b/>
                <w:sz w:val="19"/>
                <w:szCs w:val="19"/>
              </w:rPr>
              <w:t xml:space="preserve">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4.2</w:t>
              <w:tab/>
            </w:r>
            <w:r>
              <w:rPr>
                <w:rFonts w:ascii="Arial" w:hAnsi="Arial" w:eastAsia="Arial" w:cs="Arial"/>
                <w:b/>
                <w:sz w:val="19"/>
                <w:szCs w:val="19"/>
              </w:rPr>
              <w:t xml:space="preserve">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4.3</w:t>
              <w:tab/>
            </w:r>
            <w:r>
              <w:rPr>
                <w:rFonts w:ascii="Arial" w:hAnsi="Arial" w:eastAsia="Arial" w:cs="Arial"/>
                <w:b/>
                <w:sz w:val="19"/>
                <w:szCs w:val="19"/>
              </w:rPr>
              <w:t xml:space="preserve">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4.4</w:t>
              <w:tab/>
            </w:r>
            <w:r>
              <w:rPr>
                <w:rFonts w:ascii="Arial" w:hAnsi="Arial" w:eastAsia="Arial" w:cs="Arial"/>
                <w:b/>
                <w:sz w:val="19"/>
                <w:szCs w:val="19"/>
              </w:rPr>
              <w:t xml:space="preserve">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4"/>
                <w:szCs w:val="24"/>
                <w:lang w:val="en-US" w:eastAsia="zh-CN" w:bidi="ar-SA"/>
              </w:rPr>
              <w:ind w:left="420" w:hanging="420"/>
            </w:pPr>
            <w:r>
              <w:rPr>
                <w:rFonts w:ascii="Arial" w:hAnsi="Arial" w:eastAsia="Arial" w:cs="Arial"/>
                <w:b/>
                <w:sz w:val="19"/>
                <w:szCs w:val="19"/>
              </w:rPr>
              <w:t xml:space="preserve">4.5</w:t>
              <w:tab/>
            </w:r>
            <w:r>
              <w:rPr>
                <w:rFonts w:ascii="Arial" w:hAnsi="Arial" w:eastAsia="Arial" w:cs="Arial"/>
                <w:b/>
                <w:sz w:val="19"/>
                <w:szCs w:val="19"/>
              </w:rPr>
              <w:t xml:space="preserve">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rPr>
                <w:b/>
                <w:sz w:val="24"/>
              </w:rPr>
            </w:pPr>
            <w:r>
              <w:rPr>
                <w:rFonts w:ascii="Arial" w:hAnsi="Arial" w:eastAsia="Arial" w:cs="Arial"/>
                <w:b/>
                <w:sz w:val="22"/>
                <w:szCs w:val="22"/>
              </w:rPr>
              <w:t xml:space="preserve">5.Fire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5.1</w:t>
              <w:tab/>
            </w:r>
            <w:r>
              <w:rPr>
                <w:rFonts w:ascii="Arial" w:hAnsi="Arial" w:eastAsia="Arial" w:cs="Arial"/>
                <w:b/>
                <w:sz w:val="19"/>
                <w:szCs w:val="19"/>
              </w:rPr>
              <w:t xml:space="preserve">Suitable extinguishing 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5.2</w:t>
              <w:tab/>
            </w:r>
            <w:r>
              <w:rPr>
                <w:rFonts w:ascii="Arial" w:hAnsi="Arial" w:eastAsia="Arial" w:cs="Arial"/>
                <w:b/>
                <w:sz w:val="19"/>
                <w:szCs w:val="19"/>
              </w:rPr>
              <w:t xml:space="preserve">Unsuitable extinguishing 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lang w:val="en-US" w:eastAsia="zh-CN"/>
              </w:rPr>
              <w:ind w:left="420" w:hanging="420"/>
            </w:pPr>
            <w:r>
              <w:rPr>
                <w:rFonts w:ascii="Arial" w:hAnsi="Arial" w:eastAsia="Arial" w:cs="Arial"/>
                <w:b/>
                <w:sz w:val="19"/>
                <w:szCs w:val="19"/>
              </w:rPr>
              <w:t xml:space="preserve">5.3</w:t>
              <w:tab/>
            </w:r>
            <w:r>
              <w:rPr>
                <w:rFonts w:ascii="Arial" w:hAnsi="Arial" w:eastAsia="Arial" w:cs="Arial"/>
                <w:b/>
                <w:sz w:val="19"/>
                <w:szCs w:val="19"/>
              </w:rPr>
              <w:t xml:space="preserve">Special hazards of 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5.4</w:t>
              <w:tab/>
            </w:r>
            <w:r>
              <w:rPr>
                <w:rFonts w:ascii="Arial" w:hAnsi="Arial" w:eastAsia="Arial" w:cs="Arial"/>
                <w:b/>
                <w:sz w:val="19"/>
                <w:szCs w:val="19"/>
              </w:rPr>
              <w:t xml:space="preserve">Firefighting precautions 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rPr>
                <w:b/>
                <w:sz w:val="24"/>
              </w:rPr>
            </w:pPr>
            <w:r>
              <w:rPr>
                <w:rFonts w:ascii="Arial" w:hAnsi="Arial" w:eastAsia="Arial" w:cs="Arial"/>
                <w:b/>
                <w:sz w:val="22"/>
                <w:szCs w:val="22"/>
              </w:rPr>
              <w:t xml:space="preserve">6.Measures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6.1</w:t>
              <w:tab/>
            </w:r>
            <w:r>
              <w:rPr>
                <w:rFonts w:ascii="Arial" w:hAnsi="Arial" w:eastAsia="Arial" w:cs="Arial"/>
                <w:b/>
                <w:sz w:val="19"/>
                <w:szCs w:val="19"/>
              </w:rPr>
              <w:t xml:space="preserve">Firefighting precautions 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jc w:val="left"/>
              <w:textAlignment w:val="auto"/>
              <w:rPr>
                <w:rFonts w:hint="eastAsia"/>
                <w:b/>
                <w:sz w:val="24"/>
              </w:rPr>
              <w:ind w:left="420" w:hanging="420"/>
            </w:pPr>
            <w:r>
              <w:rPr>
                <w:rFonts w:ascii="Arial" w:hAnsi="Arial" w:eastAsia="Arial" w:cs="Arial"/>
                <w:b/>
                <w:sz w:val="19"/>
                <w:szCs w:val="19"/>
              </w:rPr>
              <w:t xml:space="preserve">6.2</w:t>
              <w:tab/>
            </w:r>
            <w:r>
              <w:rPr>
                <w:rFonts w:ascii="Arial" w:hAnsi="Arial" w:eastAsia="Arial" w:cs="Arial"/>
                <w:b/>
                <w:sz w:val="19"/>
                <w:szCs w:val="19"/>
              </w:rPr>
              <w:t xml:space="preserve">Environmental 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6.3</w:t>
              <w:tab/>
            </w:r>
            <w:r>
              <w:rPr>
                <w:rFonts w:ascii="Arial" w:hAnsi="Arial" w:eastAsia="Arial" w:cs="Arial"/>
                <w:b/>
                <w:sz w:val="19"/>
                <w:szCs w:val="19"/>
              </w:rPr>
              <w:t xml:space="preserve">Methods and material for 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rPr>
                <w:b/>
                <w:sz w:val="24"/>
              </w:rPr>
            </w:pPr>
            <w:r>
              <w:rPr>
                <w:rFonts w:ascii="Arial" w:hAnsi="Arial" w:eastAsia="Arial" w:cs="Arial"/>
                <w:b/>
                <w:sz w:val="22"/>
                <w:szCs w:val="22"/>
              </w:rPr>
              <w:t xml:space="preserve">7.Operation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7.1</w:t>
              <w:tab/>
            </w:r>
            <w:r>
              <w:rPr>
                <w:rFonts w:ascii="Arial" w:hAnsi="Arial" w:eastAsia="Arial" w:cs="Arial"/>
                <w:b/>
                <w:sz w:val="19"/>
                <w:szCs w:val="19"/>
              </w:rPr>
              <w:t xml:space="preserve">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7.2</w:t>
              <w:tab/>
            </w:r>
            <w:r>
              <w:rPr>
                <w:rFonts w:ascii="Arial" w:hAnsi="Arial" w:eastAsia="Arial" w:cs="Arial"/>
                <w:b/>
                <w:sz w:val="19"/>
                <w:szCs w:val="19"/>
              </w:rPr>
              <w:t xml:space="preserve">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rPr>
                <w:b/>
                <w:sz w:val="24"/>
              </w:rPr>
            </w:pPr>
            <w:r>
              <w:rPr>
                <w:rFonts w:ascii="Arial" w:hAnsi="Arial" w:eastAsia="Arial" w:cs="Arial"/>
                <w:b/>
                <w:sz w:val="22"/>
                <w:szCs w:val="22"/>
              </w:rPr>
              <w:t xml:space="preserve">8.Exposure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ind w:left="420" w:hanging="420"/>
            </w:pPr>
            <w:r>
              <w:rPr>
                <w:rFonts w:ascii="Arial" w:hAnsi="Arial" w:eastAsia="Arial" w:cs="Arial"/>
                <w:b/>
                <w:sz w:val="19"/>
                <w:szCs w:val="19"/>
              </w:rPr>
              <w:t xml:space="preserve">8.1</w:t>
              <w:tab/>
            </w:r>
            <w:r>
              <w:rPr>
                <w:rFonts w:ascii="Arial" w:hAnsi="Arial" w:eastAsia="Arial" w:cs="Arial"/>
                <w:b/>
                <w:sz w:val="19"/>
                <w:szCs w:val="19"/>
              </w:rPr>
              <w:t xml:space="preserve">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rPr>
                <w:b/>
                <w:sz w:val="22"/>
                <w:szCs w:val="22"/>
              </w:rPr>
              <w:jc w:val="left"/>
            </w:pPr>
            <w:r>
              <w:rPr>
                <w:bCs w:val="0"/>
                <w:kern w:val="0"/>
                <w:rFonts w:ascii="Arial" w:hAnsi="Arial" w:eastAsia="Arial" w:cs="Arial"/>
                <w:sz w:val="19"/>
                <w:szCs w:val="19"/>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Hand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rPr>
                <w:rFonts w:hint="default" w:eastAsia="宋体"/>
                <w:b/>
                <w:sz w:val="22"/>
                <w:szCs w:val="22"/>
                <w:lang w:val="en-US" w:eastAsia="zh-CN"/>
              </w:rPr>
              <w:jc w:val="left"/>
            </w:pPr>
            <w:r>
              <w:rPr>
                <w:bCs w:val="0"/>
                <w:kern w:val="0"/>
                <w:rFonts w:ascii="Arial" w:hAnsi="Arial" w:eastAsia="Arial" w:cs="Arial"/>
                <w:sz w:val="19"/>
                <w:szCs w:val="19"/>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rPr>
                <w:rFonts w:cs="Arial"/>
                <w:kern w:val="0"/>
                <w:sz w:val="22"/>
                <w:szCs w:val="22"/>
              </w:rPr>
              <w:jc w:val="left"/>
            </w:pPr>
            <w:r>
              <w:rPr>
                <w:bCs w:val="0"/>
                <w:kern w:val="0"/>
                <w:rFonts w:ascii="Arial" w:hAnsi="Arial" w:eastAsia="Arial" w:cs="Arial"/>
                <w:sz w:val="19"/>
                <w:szCs w:val="19"/>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textAlignment w:val="auto"/>
              <w:rPr>
                <w:b/>
                <w:sz w:val="24"/>
              </w:rPr>
              <w:jc w:val="left"/>
            </w:pPr>
            <w:r>
              <w:rPr>
                <w:rFonts w:ascii="Arial" w:hAnsi="Arial" w:eastAsia="Arial" w:cs="Arial"/>
                <w:b/>
                <w:sz w:val="19"/>
                <w:szCs w:val="19"/>
              </w:rPr>
              <w:t xml:space="preserve">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rPr>
                <w:b/>
                <w:sz w:val="22"/>
                <w:szCs w:val="22"/>
              </w:rPr>
              <w:jc w:val="left"/>
            </w:pPr>
            <w:r>
              <w:rPr>
                <w:bCs w:val="0"/>
                <w:kern w:val="0"/>
                <w:rFonts w:ascii="Arial" w:hAnsi="Arial" w:eastAsia="Arial" w:cs="Arial"/>
                <w:sz w:val="19"/>
                <w:szCs w:val="19"/>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ind w:left="420" w:hanging="420"/>
            </w:pPr>
            <w:r>
              <w:rPr>
                <w:rFonts w:ascii="Arial" w:hAnsi="Arial" w:eastAsia="Arial" w:cs="Arial"/>
                <w:b/>
                <w:sz w:val="19"/>
                <w:szCs w:val="19"/>
              </w:rPr>
              <w:t xml:space="preserve">8.2</w:t>
              <w:tab/>
            </w:r>
            <w:r>
              <w:rPr>
                <w:rFonts w:ascii="Arial" w:hAnsi="Arial" w:eastAsia="Arial" w:cs="Arial"/>
                <w:b/>
                <w:sz w:val="19"/>
                <w:szCs w:val="19"/>
              </w:rPr>
              <w:t xml:space="preserve">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textAlignment w:val="auto"/>
              <w:rPr>
                <w:rFonts w:hint="default" w:hAnsi="Arial" w:cs="Times New Roman"/>
                <w:b/>
                <w:kern w:val="2"/>
                <w:sz w:val="22"/>
                <w:szCs w:val="22"/>
                <w:lang w:val="en-US" w:eastAsia="zh-CN" w:bidi="ar-SA"/>
              </w:rPr>
              <w:jc w:val="left"/>
            </w:pPr>
            <w:r>
              <w:rPr>
                <w:bCs w:val="0"/>
                <w:kern w:val="0"/>
                <w:rFonts w:ascii="Arial" w:hAnsi="Arial" w:eastAsia="Arial" w:cs="Arial"/>
                <w:sz w:val="19"/>
                <w:szCs w:val="19"/>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rPr>
                <w:b/>
                <w:sz w:val="24"/>
              </w:rPr>
            </w:pPr>
            <w:r>
              <w:rPr>
                <w:rFonts w:ascii="Arial" w:hAnsi="Arial" w:eastAsia="Arial" w:cs="Arial"/>
                <w:b/>
                <w:sz w:val="22"/>
                <w:szCs w:val="22"/>
              </w:rPr>
              <w:t xml:space="preserve">9.Physical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w:t>
              <w:tab/>
            </w:r>
            <w:r>
              <w:rPr>
                <w:rFonts w:ascii="Arial" w:hAnsi="Arial" w:eastAsia="Arial" w:cs="Arial"/>
                <w:b/>
                <w:sz w:val="19"/>
                <w:szCs w:val="19"/>
              </w:rPr>
              <w:t xml:space="preserve">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Milky white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w:t>
              <w:tab/>
            </w:r>
            <w:r>
              <w:rPr>
                <w:rFonts w:ascii="Arial" w:hAnsi="Arial" w:eastAsia="Arial" w:cs="Arial"/>
                <w:b/>
                <w:sz w:val="19"/>
                <w:szCs w:val="19"/>
              </w:rPr>
              <w:t xml:space="preserve">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9.3</w:t>
              <w:tab/>
            </w:r>
            <w:r>
              <w:rPr>
                <w:rFonts w:ascii="Arial" w:hAnsi="Arial" w:eastAsia="Arial" w:cs="Arial"/>
                <w:b/>
                <w:sz w:val="19"/>
                <w:szCs w:val="19"/>
              </w:rPr>
              <w:t xml:space="preserve">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9.4</w:t>
              <w:tab/>
            </w:r>
            <w:r>
              <w:rPr>
                <w:rFonts w:ascii="Arial" w:hAnsi="Arial" w:eastAsia="Arial" w:cs="Arial"/>
                <w:b/>
                <w:sz w:val="19"/>
                <w:szCs w:val="19"/>
              </w:rPr>
              <w:t xml:space="preserve">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9.5</w:t>
              <w:tab/>
            </w:r>
            <w:r>
              <w:rPr>
                <w:rFonts w:ascii="Arial" w:hAnsi="Arial" w:eastAsia="Arial" w:cs="Arial"/>
                <w:b/>
                <w:sz w:val="19"/>
                <w:szCs w:val="19"/>
              </w:rPr>
              <w:t xml:space="preserve">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9.6</w:t>
              <w:tab/>
            </w:r>
            <w:r>
              <w:rPr>
                <w:rFonts w:ascii="Arial" w:hAnsi="Arial" w:eastAsia="Arial" w:cs="Arial"/>
                <w:b/>
                <w:sz w:val="19"/>
                <w:szCs w:val="19"/>
              </w:rPr>
              <w:t xml:space="preserve">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95℃</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9.7</w:t>
              <w:tab/>
            </w:r>
            <w:r>
              <w:rPr>
                <w:rFonts w:ascii="Arial" w:hAnsi="Arial" w:eastAsia="Arial" w:cs="Arial"/>
                <w:b/>
                <w:sz w:val="19"/>
                <w:szCs w:val="19"/>
              </w:rPr>
              <w:t xml:space="preserve">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9.8</w:t>
              <w:tab/>
            </w:r>
            <w:r>
              <w:rPr>
                <w:rFonts w:ascii="Arial" w:hAnsi="Arial" w:eastAsia="Arial" w:cs="Arial"/>
                <w:b/>
                <w:sz w:val="19"/>
                <w:szCs w:val="19"/>
              </w:rPr>
              <w:t xml:space="preserve">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9.9</w:t>
              <w:tab/>
            </w:r>
            <w:r>
              <w:rPr>
                <w:rFonts w:ascii="Arial" w:hAnsi="Arial" w:eastAsia="Arial" w:cs="Arial"/>
                <w:b/>
                <w:sz w:val="19"/>
                <w:szCs w:val="19"/>
              </w:rPr>
              <w:t xml:space="preserve">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9.10</w:t>
              <w:tab/>
            </w:r>
            <w:r>
              <w:rPr>
                <w:rFonts w:ascii="Arial" w:hAnsi="Arial" w:eastAsia="Arial" w:cs="Arial"/>
                <w:b/>
                <w:sz w:val="19"/>
                <w:szCs w:val="19"/>
              </w:rPr>
              <w:t xml:space="preserve">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9.11</w:t>
              <w:tab/>
            </w:r>
            <w:r>
              <w:rPr>
                <w:rFonts w:ascii="Arial" w:hAnsi="Arial" w:eastAsia="Arial" w:cs="Arial"/>
                <w:b/>
                <w:sz w:val="19"/>
                <w:szCs w:val="19"/>
              </w:rPr>
              <w:t xml:space="preserve">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Approx. 1.06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9.12</w:t>
              <w:tab/>
            </w:r>
            <w:r>
              <w:rPr>
                <w:rFonts w:ascii="Arial" w:hAnsi="Arial" w:eastAsia="Arial" w:cs="Arial"/>
                <w:b/>
                <w:sz w:val="19"/>
                <w:szCs w:val="19"/>
              </w:rPr>
              <w:t xml:space="preserve">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9.13</w:t>
              <w:tab/>
            </w:r>
            <w:r>
              <w:rPr>
                <w:rFonts w:ascii="Arial" w:hAnsi="Arial" w:eastAsia="Arial" w:cs="Arial"/>
                <w:b/>
                <w:sz w:val="19"/>
                <w:szCs w:val="19"/>
              </w:rPr>
              <w:t xml:space="preserve">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9.14</w:t>
              <w:tab/>
            </w:r>
            <w:r>
              <w:rPr>
                <w:rFonts w:ascii="Arial" w:hAnsi="Arial" w:eastAsia="Arial" w:cs="Arial"/>
                <w:b/>
                <w:sz w:val="19"/>
                <w:szCs w:val="19"/>
              </w:rPr>
              <w:t xml:space="preserve">log Pow (n-octanol/water partition coefficient): 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9.15</w:t>
              <w:tab/>
            </w:r>
            <w:r>
              <w:rPr>
                <w:rFonts w:ascii="Arial" w:hAnsi="Arial" w:eastAsia="Arial" w:cs="Arial"/>
                <w:b/>
                <w:sz w:val="19"/>
                <w:szCs w:val="19"/>
              </w:rPr>
              <w:t xml:space="preserve">Auto-ignition temperature: 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9.16</w:t>
              <w:tab/>
            </w:r>
            <w:r>
              <w:rPr>
                <w:rFonts w:ascii="Arial" w:hAnsi="Arial" w:eastAsia="Arial" w:cs="Arial"/>
                <w:b/>
                <w:sz w:val="19"/>
                <w:szCs w:val="19"/>
              </w:rPr>
              <w:t xml:space="preserve">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9.17</w:t>
              <w:tab/>
            </w:r>
            <w:r>
              <w:rPr>
                <w:rFonts w:ascii="Arial" w:hAnsi="Arial" w:eastAsia="Arial" w:cs="Arial"/>
                <w:b/>
                <w:sz w:val="19"/>
                <w:szCs w:val="19"/>
              </w:rPr>
              <w:t xml:space="preserve">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50-4000 mPa.s</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9.18</w:t>
              <w:tab/>
            </w:r>
            <w:r>
              <w:rPr>
                <w:rFonts w:ascii="Arial" w:hAnsi="Arial" w:eastAsia="Arial" w:cs="Arial"/>
                <w:b/>
                <w:sz w:val="19"/>
                <w:szCs w:val="19"/>
              </w:rPr>
              <w:t xml:space="preserve">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46±2%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9.19</w:t>
              <w:tab/>
            </w:r>
            <w:r>
              <w:rPr>
                <w:rFonts w:ascii="Arial" w:hAnsi="Arial" w:eastAsia="Arial" w:cs="Arial"/>
                <w:b/>
                <w:sz w:val="19"/>
                <w:szCs w:val="19"/>
              </w:rPr>
              <w:t xml:space="preserve">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rPr>
                <w:b/>
                <w:sz w:val="24"/>
              </w:rPr>
            </w:pPr>
            <w:r>
              <w:rPr>
                <w:rFonts w:ascii="Arial" w:hAnsi="Arial" w:eastAsia="Arial" w:cs="Arial"/>
                <w:b/>
                <w:sz w:val="22"/>
                <w:szCs w:val="22"/>
              </w:rPr>
              <w:t xml:space="preserve">10.Stability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10.1</w:t>
              <w:tab/>
            </w:r>
            <w:r>
              <w:rPr>
                <w:rFonts w:ascii="Arial" w:hAnsi="Arial" w:eastAsia="Arial" w:cs="Arial"/>
                <w:b/>
                <w:sz w:val="19"/>
                <w:szCs w:val="19"/>
              </w:rPr>
              <w:t xml:space="preserve">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10.2</w:t>
              <w:tab/>
            </w:r>
            <w:r>
              <w:rPr>
                <w:rFonts w:ascii="Arial" w:hAnsi="Arial" w:eastAsia="Arial" w:cs="Arial"/>
                <w:b/>
                <w:sz w:val="19"/>
                <w:szCs w:val="19"/>
              </w:rPr>
              <w:t xml:space="preserve">Hazardous decomposition products:</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eastAsia="zh-CN"/>
              </w:rPr>
              <w:jc w:val="left"/>
            </w:pPr>
            <w:r>
              <w:rPr>
                <w:bCs w:val="0"/>
                <w:kern w:val="0"/>
                <w:rFonts w:ascii="Arial" w:hAnsi="Arial" w:eastAsia="Arial" w:cs="Arial"/>
                <w:sz w:val="19"/>
                <w:szCs w:val="19"/>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10.3</w:t>
              <w:tab/>
            </w:r>
            <w:r>
              <w:rPr>
                <w:rFonts w:ascii="Arial" w:hAnsi="Arial" w:eastAsia="Arial" w:cs="Arial"/>
                <w:b/>
                <w:sz w:val="19"/>
                <w:szCs w:val="19"/>
              </w:rPr>
              <w:t xml:space="preserve">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rPr>
                <w:b/>
                <w:sz w:val="24"/>
              </w:rPr>
            </w:pPr>
            <w:r>
              <w:rPr>
                <w:rFonts w:ascii="Arial" w:hAnsi="Arial" w:eastAsia="Arial" w:cs="Arial"/>
                <w:b/>
                <w:sz w:val="22"/>
                <w:szCs w:val="22"/>
              </w:rPr>
              <w:t xml:space="preserve">11.Toxicity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vAlign w:val="center"/>
            <w:tcBorders>
              <w:top w:val="dotted" w:color="auto" w:sz="4" w:space="0"/>
              <w:bottom w:val="dotted" w:color="auto" w:sz="4" w:space="0"/>
              <w:right w:val="dotted" w:color="auto" w:sz="4" w:space="0"/>
            </w:tcBorders>
          </w:tcPr>
          <w:p>
            <w:pPr>
              <w:spacing w:line="300" w:lineRule="auto"/>
              <w:jc w:val="left"/>
            </w:pPr>
            <w:r>
              <w:rPr>
                <w:rFonts w:ascii="Arial" w:hAnsi="Arial" w:eastAsia="Arial" w:cs="Arial"/>
                <w:sz w:val="19"/>
                <w:szCs w:val="19"/>
              </w:rPr>
              <w:t xml:space="preserve">No toxicological studies are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vAlign w:val="center"/>
            <w:tcBorders>
              <w:top w:val="dotted" w:color="auto" w:sz="4" w:space="0"/>
              <w:bottom w:val="dotted" w:color="auto" w:sz="4" w:space="0"/>
              <w:right w:val="dotted" w:color="auto" w:sz="4" w:space="0"/>
            </w:tcBorders>
          </w:tcPr>
          <w:p>
            <w:pPr>
              <w:spacing w:line="300" w:lineRule="auto"/>
              <w:jc w:val="left"/>
            </w:pPr>
            <w:r>
              <w:rPr>
                <w:rFonts w:ascii="Arial" w:hAnsi="Arial" w:eastAsia="Arial" w:cs="Arial"/>
                <w:sz w:val="19"/>
                <w:szCs w:val="19"/>
              </w:rPr>
              <w:t xml:space="preserve">The following are toxicological data for the components:</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vAlign w:val="center"/>
            <w:tcBorders>
              <w:top w:val="dotted" w:color="auto" w:sz="4" w:space="0"/>
              <w:bottom w:val="dotted" w:color="auto" w:sz="4" w:space="0"/>
              <w:right w:val="dotted" w:color="auto" w:sz="4" w:space="0"/>
            </w:tcBorders>
          </w:tcPr>
          <w:p>
            <w:pPr>
              <w:jc w:val="left"/>
              <w:spacing w:line="300" w:lineRule="auto"/>
              <w:ind w:left="565"/>
            </w:pPr>
            <w:r>
              <w:rPr>
                <w:rFonts w:ascii="Arial" w:hAnsi="Arial" w:eastAsia="Arial" w:cs="Arial"/>
                <w:b/>
                <w:sz w:val="19"/>
                <w:szCs w:val="19"/>
              </w:rPr>
              <w:t xml:space="preserve">Hydroxy polyacrylate dispersion: Toxicity: No data available; Irritation: No data available Propylene glycol butyl ether: Toxicity: Dermal (Rat) LD50: &gt; 2000 mg/kg Inhalation (Rat) LD50: &gt; 1997.718 mg/l/8hE Oral (Rat) LD50: &gt; 2000 mg/kg Irritation: No data available 2-(2-Butoxyethoxy)ethanol: Toxicity: Dermal (Rat) LD50: &gt; 2000 mg/kg Oral (Rat) LD50: = 4500 mg/kg Irritation: No data available:</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rPr>
                <w:b/>
                <w:sz w:val="24"/>
              </w:rPr>
            </w:pPr>
            <w:r>
              <w:rPr>
                <w:rFonts w:ascii="Arial" w:hAnsi="Arial" w:eastAsia="Arial" w:cs="Arial"/>
                <w:b/>
                <w:sz w:val="22"/>
                <w:szCs w:val="22"/>
              </w:rPr>
              <w:t xml:space="preserve">12.Ecological information</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eastAsia="宋体"/>
                <w:sz w:val="24"/>
                <w:lang w:val="en-US" w:eastAsia="zh-CN"/>
              </w:rPr>
              <w:ind w:left="420" w:hanging="420"/>
            </w:pPr>
            <w:r>
              <w:rPr>
                <w:rFonts w:ascii="Arial" w:hAnsi="Arial" w:eastAsia="Arial" w:cs="Arial"/>
                <w:b/>
                <w:sz w:val="19"/>
                <w:szCs w:val="19"/>
              </w:rPr>
              <w:t xml:space="preserve">12.1</w:t>
              <w:tab/>
            </w:r>
            <w:r>
              <w:rPr>
                <w:rFonts w:ascii="Arial" w:hAnsi="Arial" w:eastAsia="Arial" w:cs="Arial"/>
                <w:b/>
                <w:sz w:val="19"/>
                <w:szCs w:val="19"/>
              </w:rPr>
              <w:t xml:space="preserve">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No ecotoxicological studies are available for this product.</w:t>
              <w:br/>
              <w:t>Do not allow to enter drains, water courses or soil.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12.2</w:t>
              <w:tab/>
            </w:r>
            <w:r>
              <w:rPr>
                <w:rFonts w:ascii="Arial" w:hAnsi="Arial" w:eastAsia="Arial" w:cs="Arial"/>
                <w:b/>
                <w:sz w:val="19"/>
                <w:szCs w:val="19"/>
              </w:rPr>
              <w:t xml:space="preserve">Persistence and 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The product is not readily biodegradable.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12.3</w:t>
              <w:tab/>
            </w:r>
            <w:r>
              <w:rPr>
                <w:rFonts w:ascii="Arial" w:hAnsi="Arial" w:eastAsia="Arial" w:cs="Arial"/>
                <w:b/>
                <w:sz w:val="19"/>
                <w:szCs w:val="19"/>
              </w:rPr>
              <w:t xml:space="preserve">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lang w:val="en-US" w:eastAsia="zh-CN"/>
                <w:rFonts w:ascii="Arial" w:hAnsi="Arial" w:eastAsia="Arial" w:cs="Arial"/>
                <w:sz w:val="19"/>
                <w:szCs w:val="19"/>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rPr>
                <w:b/>
                <w:sz w:val="24"/>
              </w:rPr>
            </w:pPr>
            <w:r>
              <w:rPr>
                <w:rFonts w:ascii="Arial" w:hAnsi="Arial" w:eastAsia="Arial" w:cs="Arial"/>
                <w:b/>
                <w:sz w:val="22"/>
                <w:szCs w:val="22"/>
              </w:rPr>
              <w:t xml:space="preserve">13.Handling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Dispose of in accordance with applicable national standards and national or local regulations.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kinsoku/>
              <w:wordWrap/>
              <w:overflowPunct/>
              <w:topLinePunct w:val="0"/>
              <w:autoSpaceDE/>
              <w:autoSpaceDN/>
              <w:bidi w:val="0"/>
              <w:adjustRightInd/>
              <w:snapToGrid/>
              <w:spacing w:line="300" w:lineRule="auto"/>
              <w:textAlignment w:val="auto"/>
              <w:rPr>
                <w:sz w:val="24"/>
              </w:rPr>
              <w:jc w:val="center"/>
            </w:pPr>
            <w:r>
              <w:rPr>
                <w:rFonts w:ascii="Arial" w:hAnsi="Arial" w:eastAsia="Arial" w:cs="Arial"/>
                <w:b/>
                <w:sz w:val="19"/>
                <w:szCs w:val="19"/>
              </w:rPr>
              <w:t xml:space="preserve">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rPr>
                <w:b/>
                <w:sz w:val="24"/>
              </w:rPr>
            </w:pPr>
            <w:r>
              <w:rPr>
                <w:rFonts w:ascii="Arial" w:hAnsi="Arial" w:eastAsia="Arial" w:cs="Arial"/>
                <w:b/>
                <w:sz w:val="22"/>
                <w:szCs w:val="22"/>
              </w:rPr>
              <w:t xml:space="preserve">14.Transportation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14.1</w:t>
              <w:tab/>
            </w:r>
            <w:r>
              <w:rPr>
                <w:rFonts w:ascii="Arial" w:hAnsi="Arial" w:eastAsia="Arial" w:cs="Arial"/>
                <w:b/>
                <w:sz w:val="19"/>
                <w:szCs w:val="19"/>
              </w:rPr>
              <w:t xml:space="preserve">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14.2</w:t>
              <w:tab/>
            </w:r>
            <w:r>
              <w:rPr>
                <w:rFonts w:ascii="Arial" w:hAnsi="Arial" w:eastAsia="Arial" w:cs="Arial"/>
                <w:b/>
                <w:sz w:val="19"/>
                <w:szCs w:val="19"/>
              </w:rPr>
              <w:t xml:space="preserve">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14.3</w:t>
              <w:tab/>
            </w:r>
            <w:r>
              <w:rPr>
                <w:rFonts w:ascii="Arial" w:hAnsi="Arial" w:eastAsia="Arial" w:cs="Arial"/>
                <w:b/>
                <w:sz w:val="19"/>
                <w:szCs w:val="19"/>
              </w:rPr>
              <w:t xml:space="preserve">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14.4</w:t>
              <w:tab/>
            </w:r>
            <w:r>
              <w:rPr>
                <w:rFonts w:ascii="Arial" w:hAnsi="Arial" w:eastAsia="Arial" w:cs="Arial"/>
                <w:b/>
                <w:sz w:val="19"/>
                <w:szCs w:val="19"/>
              </w:rPr>
              <w:t xml:space="preserve">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rPr>
                <w:b/>
                <w:sz w:val="24"/>
              </w:rPr>
            </w:pPr>
            <w:r>
              <w:rPr>
                <w:rFonts w:ascii="Arial" w:hAnsi="Arial" w:eastAsia="Arial" w:cs="Arial"/>
                <w:b/>
                <w:sz w:val="22"/>
                <w:szCs w:val="22"/>
              </w:rPr>
              <w:t xml:space="preserve">15.Regulatory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rPr>
                <w:rFonts w:hint="default" w:ascii="Times New Roman" w:hAnsi="Times New Roman" w:cs="Times New Roman"/>
                <w:bCs/>
                <w:kern w:val="0"/>
                <w:sz w:val="24"/>
                <w:szCs w:val="24"/>
              </w:rPr>
              <w:jc w:val="left"/>
            </w:pPr>
            <w:bookmarkStart w:id="0" w:name="_GoBack" w:colFirst="0" w:colLast="0"/>
            <w:r>
              <w:rPr>
                <w:rFonts w:ascii="Arial" w:hAnsi="Arial" w:eastAsia="Arial" w:cs="Arial"/>
                <w:sz w:val="19"/>
                <w:szCs w:val="19"/>
              </w:rPr>
              <w:t xml:space="preserve">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Regulations on the Safety Management of Hazardous Chemicals, State Council Decree No. 591</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30000.2-29 Rules for classification and labelling of chemicals</w:t>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rPr>
                <w:b/>
                <w:sz w:val="24"/>
              </w:rPr>
            </w:pPr>
            <w:r>
              <w:rPr>
                <w:rFonts w:ascii="Arial" w:hAnsi="Arial" w:eastAsia="Arial" w:cs="Arial"/>
                <w:b/>
                <w:sz w:val="22"/>
                <w:szCs w:val="22"/>
              </w:rPr>
              <w:t xml:space="preserve">16.Other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textAlignment w:val="auto"/>
              <w:rPr>
                <w:rFonts w:cs="Arial"/>
                <w:bCs/>
                <w:kern w:val="0"/>
                <w:sz w:val="24"/>
              </w:rPr>
              <w:jc w:val="left"/>
            </w:pPr>
            <w:r>
              <w:rPr>
                <w:rFonts w:ascii="Arial" w:hAnsi="Arial" w:eastAsia="Arial" w:cs="Arial"/>
                <w:sz w:val="19"/>
                <w:szCs w:val="19"/>
              </w:rPr>
              <w:t xml:space="preserve">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jc w:val="left"/>
            <w:jc w:val="left"/>
          </w:pPr>
          <w:r>
            <w:rPr>
              <w:rFonts w:hint="eastAsia"/>
              <w:kern w:val="0"/>
              <w:sz w:val="21"/>
              <w:szCs w:val="21"/>
            </w:rPr>
            <w:t>Yingde Guocai New Material Co., Ltd. PA-3223-MSDS</w:t>
          </w:r>
        </w:p>
      </w:tc>
      <w:tc>
        <w:tcPr>
          <w:tcW w:w="4984" w:type="dxa"/>
        </w:tcPr>
        <w:p w14:paraId="32B3FF4C">
          <w:pPr>
            <w:ind w:firstLine="8730" w:firstLineChars="4850"/>
            <w:jc w:val="right"/>
            <w:rPr>
              <w:kern w:val="0"/>
              <w:sz w:val="20"/>
            </w:rPr>
            <w:jc w:val="right"/>
            <w:jc w:val="right"/>
          </w:pPr>
          <w:r>
            <w:rPr>
              <w:rFonts w:ascii="Arial" w:eastAsia="楷体_GB2312"/>
              <w:color w:val="7F7F7F"/>
              <w:kern w:val="0"/>
              <w:sz w:val="18"/>
              <w:szCs w:val="18"/>
            </w:rPr>
            <w:t>Revision Date: 2026/10/26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PA-3223</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