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rPr>
                <w:b/>
                <w:sz w:val="24"/>
              </w:rPr>
              <w:jc w:val="left"/>
            </w:pPr>
            <w:r>
              <w:rPr>
                <w:rFonts w:ascii="Arial" w:hAnsi="Arial" w:eastAsia="Arial" w:cs="Arial"/>
                <w:sz w:val="19"/>
                <w:szCs w:val="19"/>
                <w:b/>
              </w:rPr>
              <w:t xml:space="preserve">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1.1</w:t>
              <w:tab/>
            </w:r>
            <w:r>
              <w:rPr>
                <w:rFonts w:ascii="Arial" w:hAnsi="Arial" w:eastAsia="Arial" w:cs="Arial"/>
                <w:b/>
                <w:sz w:val="19"/>
                <w:szCs w:val="19"/>
              </w:rPr>
              <w:t xml:space="preserve">Product 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sz w:val="24"/>
                <w:szCs w:val="24"/>
                <w:lang w:val="en-US" w:eastAsia="zh-CN"/>
              </w:rPr>
              <w:jc w:val="left"/>
            </w:pPr>
            <w:r>
              <w:rPr>
                <w:bCs w:val="0"/>
                <w:rFonts w:ascii="Arial" w:hAnsi="Arial" w:eastAsia="Arial" w:cs="Arial"/>
                <w:sz w:val="19"/>
                <w:szCs w:val="19"/>
              </w:rPr>
              <w:t>Waterborne polyurethane dispersion PU-202A</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Chemical category:</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val="en-US" w:eastAsia="zh-CN"/>
              </w:rPr>
              <w:jc w:val="left"/>
            </w:pPr>
            <w:r>
              <w:rPr>
                <w:bCs w:val="0"/>
                <w:lang w:val="en-US" w:eastAsia="zh-CN"/>
                <w:rFonts w:ascii="Arial" w:hAnsi="Arial" w:eastAsia="Arial" w:cs="Arial"/>
                <w:sz w:val="19"/>
                <w:szCs w:val="19"/>
              </w:rPr>
              <w:t>Modified polyurethane resin aqueous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w:t>
              <w:tab/>
            </w:r>
            <w:r>
              <w:rPr>
                <w:rFonts w:ascii="Arial" w:hAnsi="Arial" w:eastAsia="Arial" w:cs="Arial"/>
                <w:b/>
                <w:sz w:val="19"/>
                <w:szCs w:val="19"/>
              </w:rPr>
              <w:t xml:space="preserve">Product use suggestions and restrictions:</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textAlignment w:val="auto"/>
              <w:rPr>
                <w:rFonts w:hint="default" w:eastAsia="宋体"/>
                <w:sz w:val="24"/>
                <w:szCs w:val="24"/>
                <w:lang w:val="en-US" w:eastAsia="zh-CN"/>
              </w:rPr>
              <w:jc w:val="left"/>
            </w:pPr>
            <w:r>
              <w:rPr>
                <w:bCs w:val="0"/>
                <w:lang w:val="en-US" w:eastAsia="zh-CN"/>
                <w:rFonts w:ascii="Arial" w:hAnsi="Arial" w:eastAsia="Arial" w:cs="Arial"/>
                <w:sz w:val="19"/>
                <w:szCs w:val="19"/>
              </w:rPr>
              <w:t>Used in paper coating, leather finishing, textile coating, adhesives and other industries.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1.3</w:t>
              <w:tab/>
            </w:r>
            <w:r>
              <w:rPr>
                <w:rFonts w:ascii="Arial" w:hAnsi="Arial" w:eastAsia="Arial" w:cs="Arial"/>
                <w:b/>
                <w:sz w:val="19"/>
                <w:szCs w:val="19"/>
              </w:rPr>
              <w:t xml:space="preserve">Supplier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Name of supplier:</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cs="宋体"/>
                <w:sz w:val="24"/>
                <w:szCs w:val="24"/>
                <w:lang w:val="en-US" w:eastAsia="zh-CN"/>
              </w:rPr>
              <w:jc w:val="left"/>
            </w:pPr>
            <w:r>
              <w:rPr>
                <w:bCs w:val="0"/>
                <w:lang w:val="en-US" w:eastAsia="zh-CN"/>
                <w:rFonts w:ascii="Arial" w:hAnsi="Arial" w:eastAsia="Arial" w:cs="Arial"/>
                <w:sz w:val="19"/>
                <w:szCs w:val="19"/>
              </w:rPr>
              <w:t>Yingde Guocai New Material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rPr>
              <w:ind w:left="420"/>
            </w:pPr>
            <w:r>
              <w:rPr>
                <w:rFonts w:ascii="Arial" w:hAnsi="Arial" w:eastAsia="Arial" w:cs="Arial"/>
                <w:b/>
                <w:sz w:val="19"/>
                <w:szCs w:val="19"/>
              </w:rPr>
              <w:t xml:space="preserve">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eastAsia="zh-CN"/>
              </w:rPr>
              <w:jc w:val="left"/>
            </w:pPr>
            <w:r>
              <w:rPr>
                <w:bCs w:val="0"/>
                <w:lang w:val="en-US" w:eastAsia="zh-CN"/>
                <w:rFonts w:ascii="Arial" w:hAnsi="Arial" w:eastAsia="Arial" w:cs="Arial"/>
                <w:sz w:val="19"/>
                <w:szCs w:val="19"/>
              </w:rPr>
              <w:t>Kaidi Industrial Park, Genggukeng, Taiping Village, Baisha Town, Yingde, Guangdong, China</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Tel:</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86-763-2811205</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Fax:</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86-763-2811024</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rPr>
                <w:b/>
                <w:sz w:val="24"/>
              </w:rPr>
            </w:pPr>
            <w:r>
              <w:rPr>
                <w:rFonts w:ascii="Arial" w:hAnsi="Arial" w:eastAsia="Arial" w:cs="Arial"/>
                <w:b/>
                <w:sz w:val="22"/>
                <w:szCs w:val="22"/>
              </w:rPr>
              <w:t xml:space="preserve">2.Hazards Identification</w:t>
            </w:r>
          </w:p>
        </w:tc>
      </w:tr>
      <w:tr w14:paraId="6D7029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95" w:type="dxa"/>
            <w:gridSpan w:val="2"/>
            <w:vAlign w:val="center"/>
            <w:tcBorders>
              <w:top w:val="dotted" w:color="auto" w:sz="4" w:space="0"/>
              <w:bottom w:val="dotted" w:color="auto" w:sz="4" w:space="0"/>
              <w:right w:val="dotted" w:color="auto" w:sz="4" w:space="0"/>
            </w:tcBorders>
          </w:tcPr>
          <w:p>
            <w:pPr>
              <w:spacing w:line="300" w:lineRule="auto"/>
            </w:pPr>
            <w:r>
              <w:rPr>
                <w:rFonts w:ascii="Arial" w:hAnsi="Arial"/>
                <w:sz w:val="19"/>
                <w:b/>
              </w:rPr>
              <w:t xml:space="preserve">2.1 Classification of the substance or mixture:</w:t>
            </w:r>
          </w:p>
          <w:p>
            <w:pPr>
              <w:spacing w:line="300" w:lineRule="auto"/>
              <w:ind w:left="480"/>
            </w:pPr>
            <w:r>
              <w:rPr>
                <w:rFonts w:ascii="Arial" w:hAnsi="Arial"/>
                <w:sz w:val="19"/>
              </w:rPr>
              <w:t xml:space="preserve">Acute toxicity, Inhalation (Category 4), H332</w:t>
            </w:r>
          </w:p>
          <w:p>
            <w:pPr>
              <w:spacing w:line="300" w:lineRule="auto"/>
              <w:ind w:left="480"/>
            </w:pPr>
            <w:r>
              <w:rPr>
                <w:rFonts w:ascii="Arial" w:hAnsi="Arial"/>
                <w:sz w:val="19"/>
              </w:rPr>
              <w:t xml:space="preserve">Skin corrosion/irritation (Category 3), H316</w:t>
            </w:r>
          </w:p>
          <w:p>
            <w:pPr>
              <w:spacing w:line="300" w:lineRule="auto"/>
              <w:ind w:left="480"/>
            </w:pPr>
            <w:r>
              <w:rPr>
                <w:rFonts w:ascii="Arial" w:hAnsi="Arial"/>
                <w:sz w:val="19"/>
              </w:rPr>
              <w:t xml:space="preserve">Serious eye damage/eye irritation (Category 2B), H320</w:t>
            </w:r>
          </w:p>
          <w:p>
            <w:pPr>
              <w:spacing w:line="300" w:lineRule="auto"/>
              <w:ind w:left="480"/>
            </w:pPr>
            <w:r>
              <w:rPr>
                <w:rFonts w:ascii="Arial" w:hAnsi="Arial"/>
                <w:sz w:val="19"/>
              </w:rPr>
              <w:t xml:space="preserve">Reproductive toxicity (Category 1B), H360</w:t>
            </w:r>
          </w:p>
          <w:p>
            <w:pPr>
              <w:spacing w:line="300" w:lineRule="auto"/>
              <w:ind w:left="480"/>
            </w:pPr>
            <w:r>
              <w:rPr>
                <w:rFonts w:ascii="Arial" w:hAnsi="Arial"/>
                <w:sz w:val="19"/>
              </w:rPr>
              <w:t xml:space="preserve">Specific target organ toxicity - single exposure (Category 1), H370</w:t>
            </w:r>
          </w:p>
          <w:p>
            <w:pPr>
              <w:spacing w:line="300" w:lineRule="auto"/>
              <w:ind w:left="480"/>
            </w:pPr>
            <w:r>
              <w:rPr>
                <w:rFonts w:ascii="Arial" w:hAnsi="Arial"/>
                <w:sz w:val="19"/>
              </w:rPr>
              <w:t xml:space="preserve">Specific target organ toxicity - repeated exposure (Category 2), H373</w:t>
            </w:r>
          </w:p>
          <w:p>
            <w:pPr>
              <w:spacing w:line="300" w:lineRule="auto"/>
            </w:pPr>
            <w:r>
              <w:rPr>
                <w:rFonts w:ascii="Arial" w:hAnsi="Arial"/>
                <w:sz w:val="19"/>
                <w:b/>
              </w:rPr>
              <w:t xml:space="preserve">2.2 GHS Label Elements:</w:t>
            </w:r>
          </w:p>
          <w:p>
            <w:pPr>
              <w:spacing w:line="300" w:lineRule="auto"/>
            </w:pPr>
            <w:r>
              <w:rPr>
                <w:rFonts w:ascii="Arial" w:hAnsi="Arial"/>
                <w:sz w:val="19"/>
                <w:b/>
              </w:rPr>
              <w:t xml:space="preserve">GHS pictograms:</w:t>
            </w:r>
          </w:p>
          <w:p>
            <w:pPr>
              <w:jc w:val="center"/>
            </w:pPr>
            <w:r>
              <w:drawing>
                <wp:inline distT="0" distB="0" distL="114300" distR="114300">
                  <wp:extent cx="1080135" cy="1035050"/>
                  <wp:effectExtent l="0" t="0" r="5715" b="12700"/>
                  <wp:docPr id="7" name="图片 7" descr="a7b9e896460dc52dc6206ee221eea8f5_5bf3c34a9a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b9e896460dc52dc6206ee221eea8f5_5bf3c34a9a96f"/>
                          <pic:cNvPicPr>
                            <a:picLocks noChangeAspect="1"/>
                          </pic:cNvPicPr>
                        </pic:nvPicPr>
                        <pic:blipFill>
                          <a:blip r:embed="rId21"/>
                          <a:stretch>
                            <a:fillRect/>
                          </a:stretch>
                        </pic:blipFill>
                        <pic:spPr>
                          <a:xfrm>
                            <a:off x="0" y="0"/>
                            <a:ext cx="1080135" cy="1035050"/>
                          </a:xfrm>
                          <a:prstGeom prst="rect">
                            <a:avLst/>
                          </a:prstGeom>
                        </pic:spPr>
                      </pic:pic>
                    </a:graphicData>
                  </a:graphic>
                </wp:inline>
              </w:drawing>
            </w:r>
            <w:r>
              <w:drawing>
                <wp:inline distT="0" distB="0" distL="114300" distR="114300">
                  <wp:extent cx="1080135" cy="1028065"/>
                  <wp:effectExtent l="0" t="0" r="5715" b="635"/>
                  <wp:docPr id="6" name="图片 6" descr="5fba3e5eb86cadebbd61a9a86c575918_5bf3c3455c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fba3e5eb86cadebbd61a9a86c575918_5bf3c3455c9b1"/>
                          <pic:cNvPicPr>
                            <a:picLocks noChangeAspect="1"/>
                          </pic:cNvPicPr>
                        </pic:nvPicPr>
                        <pic:blipFill>
                          <a:blip r:embed="rId32"/>
                          <a:stretch>
                            <a:fillRect/>
                          </a:stretch>
                        </pic:blipFill>
                        <pic:spPr>
                          <a:xfrm>
                            <a:off x="0" y="0"/>
                            <a:ext cx="1080135" cy="1028065"/>
                          </a:xfrm>
                          <a:prstGeom prst="rect">
                            <a:avLst/>
                          </a:prstGeom>
                        </pic:spPr>
                      </pic:pic>
                    </a:graphicData>
                  </a:graphic>
                </wp:inline>
              </w:drawing>
            </w:r>
          </w:p>
          <w:p>
            <w:pPr>
              <w:spacing w:line="300" w:lineRule="auto"/>
            </w:pPr>
            <w:r>
              <w:rPr>
                <w:rFonts w:ascii="Arial" w:hAnsi="Arial"/>
                <w:sz w:val="19"/>
                <w:b/>
              </w:rPr>
              <w:t xml:space="preserve">Signal word:</w:t>
            </w:r>
            <w:r>
              <w:rPr>
                <w:rFonts w:ascii="Arial" w:hAnsi="Arial"/>
                <w:sz w:val="19"/>
              </w:rPr>
              <w:t xml:space="preserve"> Danger</w:t>
            </w:r>
          </w:p>
          <w:p>
            <w:pPr>
              <w:spacing w:line="300" w:lineRule="auto"/>
            </w:pPr>
            <w:r>
              <w:rPr>
                <w:rFonts w:ascii="Arial" w:hAnsi="Arial"/>
                <w:sz w:val="19"/>
                <w:b/>
              </w:rPr>
              <w:t xml:space="preserve">Hazard statements:</w:t>
            </w:r>
          </w:p>
          <w:p>
            <w:pPr>
              <w:spacing w:line="300" w:lineRule="auto"/>
              <w:ind w:left="480"/>
            </w:pPr>
            <w:r>
              <w:rPr>
                <w:rFonts w:ascii="Arial" w:hAnsi="Arial"/>
                <w:sz w:val="19"/>
              </w:rPr>
              <w:t xml:space="preserve">H316 Causes mild skin irritation.</w:t>
            </w:r>
          </w:p>
          <w:p>
            <w:pPr>
              <w:spacing w:line="300" w:lineRule="auto"/>
              <w:ind w:left="480"/>
            </w:pPr>
            <w:r>
              <w:rPr>
                <w:rFonts w:ascii="Arial" w:hAnsi="Arial"/>
                <w:sz w:val="19"/>
              </w:rPr>
              <w:t xml:space="preserve">H320 Causes eye irritation.</w:t>
            </w:r>
          </w:p>
          <w:p>
            <w:pPr>
              <w:spacing w:line="300" w:lineRule="auto"/>
              <w:ind w:left="480"/>
            </w:pPr>
            <w:r>
              <w:rPr>
                <w:rFonts w:ascii="Arial" w:hAnsi="Arial"/>
                <w:sz w:val="19"/>
              </w:rPr>
              <w:t xml:space="preserve">H332 Harmful if inhaled.</w:t>
            </w:r>
          </w:p>
          <w:p>
            <w:pPr>
              <w:spacing w:line="300" w:lineRule="auto"/>
              <w:ind w:left="480"/>
            </w:pPr>
            <w:r>
              <w:rPr>
                <w:rFonts w:ascii="Arial" w:hAnsi="Arial"/>
                <w:sz w:val="19"/>
              </w:rPr>
              <w:t xml:space="preserve">H360 May damage fertility or the unborn child.</w:t>
            </w:r>
          </w:p>
          <w:p>
            <w:pPr>
              <w:spacing w:line="300" w:lineRule="auto"/>
              <w:ind w:left="480"/>
            </w:pPr>
            <w:r>
              <w:rPr>
                <w:rFonts w:ascii="Arial" w:hAnsi="Arial"/>
                <w:sz w:val="19"/>
              </w:rPr>
              <w:t xml:space="preserve">H370 Causes damage to organs.</w:t>
            </w:r>
          </w:p>
          <w:p>
            <w:pPr>
              <w:spacing w:line="300" w:lineRule="auto"/>
              <w:ind w:left="480"/>
            </w:pPr>
            <w:r>
              <w:rPr>
                <w:rFonts w:ascii="Arial" w:hAnsi="Arial"/>
                <w:sz w:val="19"/>
              </w:rPr>
              <w:t xml:space="preserve">H373 May cause damage to organs (Liver) through prolonged or repeated exposure.</w:t>
            </w:r>
          </w:p>
          <w:p>
            <w:pPr>
              <w:spacing w:line="300" w:lineRule="auto"/>
            </w:pPr>
            <w:r>
              <w:rPr>
                <w:rFonts w:ascii="Arial" w:hAnsi="Arial"/>
                <w:sz w:val="19"/>
                <w:b/>
              </w:rPr>
              <w:t xml:space="preserve">Precautionary statements:</w:t>
            </w:r>
          </w:p>
          <w:p>
            <w:pPr>
              <w:spacing w:line="300" w:lineRule="auto"/>
              <w:ind w:left="480"/>
            </w:pPr>
            <w:r>
              <w:rPr>
                <w:rFonts w:ascii="Arial" w:hAnsi="Arial"/>
                <w:sz w:val="19"/>
                <w:b/>
              </w:rPr>
              <w:t xml:space="preserve">Prevention:</w:t>
            </w:r>
          </w:p>
          <w:p>
            <w:pPr>
              <w:spacing w:line="300" w:lineRule="auto"/>
              <w:ind w:left="960"/>
            </w:pPr>
            <w:r>
              <w:rPr>
                <w:rFonts w:ascii="Arial" w:hAnsi="Arial"/>
                <w:sz w:val="19"/>
              </w:rPr>
              <w:t xml:space="preserve">        P201 Obtain special instructions before use.</w:t>
            </w:r>
          </w:p>
          <w:p>
            <w:pPr>
              <w:spacing w:line="300" w:lineRule="auto"/>
              <w:ind w:left="960"/>
            </w:pPr>
            <w:r>
              <w:rPr>
                <w:rFonts w:ascii="Arial" w:hAnsi="Arial"/>
                <w:sz w:val="19"/>
              </w:rPr>
              <w:t xml:space="preserve">        P202 Do not handle until all safety precautions have been read and understood.</w:t>
            </w:r>
          </w:p>
          <w:p>
            <w:pPr>
              <w:spacing w:line="300" w:lineRule="auto"/>
              <w:ind w:left="960"/>
            </w:pPr>
            <w:r>
              <w:rPr>
                <w:rFonts w:ascii="Arial" w:hAnsi="Arial"/>
                <w:sz w:val="19"/>
              </w:rPr>
              <w:t xml:space="preserve">        P260 Do not breathe dust/fume/gas/mist/vapours/spray.</w:t>
            </w:r>
          </w:p>
          <w:p>
            <w:pPr>
              <w:spacing w:line="300" w:lineRule="auto"/>
              <w:ind w:left="960"/>
            </w:pPr>
            <w:r>
              <w:rPr>
                <w:rFonts w:ascii="Arial" w:hAnsi="Arial"/>
                <w:sz w:val="19"/>
              </w:rPr>
              <w:t xml:space="preserve">        P264 Wash hands thoroughly after handling.</w:t>
            </w:r>
          </w:p>
          <w:p>
            <w:pPr>
              <w:spacing w:line="300" w:lineRule="auto"/>
              <w:ind w:left="960"/>
            </w:pPr>
            <w:r>
              <w:rPr>
                <w:rFonts w:ascii="Arial" w:hAnsi="Arial"/>
                <w:sz w:val="19"/>
              </w:rPr>
              <w:t xml:space="preserve">        P270 Do not eat, drink or smoke when using this product.</w:t>
            </w:r>
          </w:p>
          <w:p>
            <w:pPr>
              <w:spacing w:line="300" w:lineRule="auto"/>
              <w:ind w:left="960"/>
            </w:pPr>
            <w:r>
              <w:rPr>
                <w:rFonts w:ascii="Arial" w:hAnsi="Arial"/>
                <w:sz w:val="19"/>
              </w:rPr>
              <w:t xml:space="preserve">        P271 Use only outdoors or in a well-ventilated area.</w:t>
            </w:r>
          </w:p>
          <w:p>
            <w:pPr>
              <w:spacing w:line="300" w:lineRule="auto"/>
              <w:ind w:left="960"/>
            </w:pPr>
            <w:r>
              <w:rPr>
                <w:rFonts w:ascii="Arial" w:hAnsi="Arial"/>
                <w:sz w:val="19"/>
              </w:rPr>
              <w:t xml:space="preserve">        P280 Wear protective gloves/clothing/eye protection/face protection.</w:t>
            </w:r>
          </w:p>
          <w:p>
            <w:pPr>
              <w:spacing w:line="300" w:lineRule="auto"/>
              <w:ind w:left="480"/>
            </w:pPr>
            <w:r>
              <w:rPr>
                <w:rFonts w:ascii="Arial" w:hAnsi="Arial"/>
                <w:sz w:val="19"/>
                <w:b/>
              </w:rPr>
              <w:t xml:space="preserve">Response:</w:t>
            </w:r>
          </w:p>
          <w:p>
            <w:pPr>
              <w:spacing w:line="300" w:lineRule="auto"/>
              <w:ind w:left="960"/>
            </w:pPr>
            <w:r>
              <w:rPr>
                <w:rFonts w:ascii="Arial" w:hAnsi="Arial"/>
                <w:sz w:val="19"/>
              </w:rPr>
              <w:t xml:space="preserve">        P304+P340 IF INHALED: Remove person to fresh air and keep comfortable for breathing.</w:t>
            </w:r>
          </w:p>
          <w:p>
            <w:pPr>
              <w:spacing w:line="300" w:lineRule="auto"/>
              <w:ind w:left="960"/>
            </w:pPr>
            <w:r>
              <w:rPr>
                <w:rFonts w:ascii="Arial" w:hAnsi="Arial"/>
                <w:sz w:val="19"/>
              </w:rPr>
              <w:t xml:space="preserve">        P305+P351+P338 IF IN EYES: Rinse cautiously with water for several minutes. Remove contact lenses, if present and easy to do. Continue rinsing.</w:t>
            </w:r>
          </w:p>
          <w:p>
            <w:pPr>
              <w:spacing w:line="300" w:lineRule="auto"/>
              <w:ind w:left="960"/>
            </w:pPr>
            <w:r>
              <w:rPr>
                <w:rFonts w:ascii="Arial" w:hAnsi="Arial"/>
                <w:sz w:val="19"/>
              </w:rPr>
              <w:t xml:space="preserve">        P308+P313 IF exposed or concerned: Get medical advice/attention.</w:t>
            </w:r>
          </w:p>
          <w:p>
            <w:pPr>
              <w:spacing w:line="300" w:lineRule="auto"/>
              <w:ind w:left="960"/>
            </w:pPr>
            <w:r>
              <w:rPr>
                <w:rFonts w:ascii="Arial" w:hAnsi="Arial"/>
                <w:sz w:val="19"/>
              </w:rPr>
              <w:t xml:space="preserve">        P337+P313 If eye irritation persists: Get medical advice/attention.</w:t>
            </w:r>
          </w:p>
          <w:p>
            <w:pPr>
              <w:spacing w:line="300" w:lineRule="auto"/>
              <w:ind w:left="960"/>
            </w:pPr>
            <w:r>
              <w:rPr>
                <w:rFonts w:ascii="Arial" w:hAnsi="Arial"/>
                <w:sz w:val="19"/>
              </w:rPr>
              <w:t xml:space="preserve">        P370+P378 In case of fire: Use foam, dry powder or carbon dioxide to extinguish.</w:t>
            </w:r>
          </w:p>
          <w:p>
            <w:pPr>
              <w:spacing w:line="300" w:lineRule="auto"/>
              <w:ind w:left="480"/>
            </w:pPr>
            <w:r>
              <w:rPr>
                <w:rFonts w:ascii="Arial" w:hAnsi="Arial"/>
                <w:sz w:val="19"/>
                <w:b/>
              </w:rPr>
              <w:t xml:space="preserve">Storage:</w:t>
            </w:r>
          </w:p>
          <w:p>
            <w:pPr>
              <w:spacing w:line="300" w:lineRule="auto"/>
              <w:ind w:left="960"/>
            </w:pPr>
            <w:r>
              <w:rPr>
                <w:rFonts w:ascii="Arial" w:hAnsi="Arial"/>
                <w:sz w:val="19"/>
              </w:rPr>
              <w:t xml:space="preserve">        P405 Store locked up.</w:t>
            </w:r>
          </w:p>
          <w:p>
            <w:pPr>
              <w:spacing w:line="300" w:lineRule="auto"/>
              <w:ind w:left="480"/>
            </w:pPr>
            <w:r>
              <w:rPr>
                <w:rFonts w:ascii="Arial" w:hAnsi="Arial"/>
                <w:sz w:val="19"/>
                <w:b/>
              </w:rPr>
              <w:t xml:space="preserve">Disposal:</w:t>
            </w:r>
          </w:p>
          <w:p>
            <w:pPr>
              <w:spacing w:line="300" w:lineRule="auto"/>
              <w:ind w:left="960"/>
            </w:pPr>
            <w:r>
              <w:rPr>
                <w:rFonts w:ascii="Arial" w:hAnsi="Arial"/>
                <w:sz w:val="19"/>
              </w:rPr>
              <w:t xml:space="preserve">        P501 Dispose of contents/container in accordance with local regulations.</w:t>
            </w:r>
          </w:p>
          <w:p>
            <w:pPr>
              <w:spacing w:line="300" w:lineRule="auto"/>
            </w:pPr>
            <w:r>
              <w:rPr>
                <w:rFonts w:ascii="Arial" w:hAnsi="Arial"/>
                <w:sz w:val="19"/>
                <w:b/>
              </w:rPr>
              <w:t xml:space="preserve">Other Hazards:</w:t>
            </w:r>
            <w:r>
              <w:rPr>
                <w:rFonts w:ascii="Arial" w:hAnsi="Arial"/>
                <w:sz w:val="19"/>
              </w:rPr>
              <w:t xml:space="preserve"> No applicable information.</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rPr>
                <w:b/>
                <w:sz w:val="24"/>
              </w:rPr>
            </w:pPr>
            <w:r>
              <w:rPr>
                <w:rFonts w:ascii="Arial" w:hAnsi="Arial" w:eastAsia="Arial" w:cs="Arial"/>
                <w:b/>
                <w:sz w:val="22"/>
                <w:szCs w:val="22"/>
              </w:rPr>
              <w:t xml:space="preserve">3.Composition/Information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3.1</w:t>
              <w:tab/>
            </w:r>
            <w:r>
              <w:rPr>
                <w:rFonts w:ascii="Arial" w:hAnsi="Arial" w:eastAsia="Arial" w:cs="Arial"/>
                <w:b/>
                <w:sz w:val="19"/>
                <w:szCs w:val="19"/>
              </w:rPr>
              <w:t xml:space="preserve">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textAlignment w:val="auto"/>
              <w:rPr>
                <w:rFonts w:cs="Arial"/>
                <w:kern w:val="0"/>
                <w:sz w:val="24"/>
              </w:rPr>
              <w:jc w:val="left"/>
            </w:pPr>
            <w:r>
              <w:rPr>
                <w:bCs w:val="0"/>
                <w:lang w:val="en-US" w:eastAsia="zh-CN"/>
                <w:rFonts w:ascii="Arial" w:hAnsi="Arial" w:eastAsia="Arial" w:cs="Arial"/>
                <w:sz w:val="19"/>
                <w:szCs w:val="19"/>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3.2</w:t>
              <w:tab/>
            </w:r>
            <w:r>
              <w:rPr>
                <w:rFonts w:ascii="Arial" w:hAnsi="Arial" w:eastAsia="Arial" w:cs="Arial"/>
                <w:b/>
                <w:sz w:val="19"/>
                <w:szCs w:val="19"/>
              </w:rPr>
              <w:t xml:space="preserve">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textAlignment w:val="auto"/>
              <w:rPr>
                <w:b/>
                <w:sz w:val="24"/>
                <w:u w:val="single"/>
              </w:rPr>
              <w:jc w:val="center"/>
            </w:pPr>
            <w:r>
              <w:rPr>
                <w:rFonts w:ascii="Arial" w:hAnsi="Arial" w:eastAsia="Arial" w:cs="Arial"/>
                <w:b/>
                <w:sz w:val="19"/>
                <w:szCs w:val="19"/>
              </w:rPr>
              <w:t xml:space="preserve">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sz w:val="24"/>
                <w:u w:val="single"/>
              </w:rPr>
              <w:jc w:val="center"/>
            </w:pPr>
            <w:r>
              <w:rPr>
                <w:rFonts w:ascii="Arial" w:hAnsi="Arial" w:eastAsia="Arial" w:cs="Arial"/>
                <w:b/>
                <w:sz w:val="19"/>
                <w:szCs w:val="19"/>
              </w:rPr>
              <w:t xml:space="preserve">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sz w:val="24"/>
                <w:u w:val="single"/>
              </w:rPr>
              <w:jc w:val="center"/>
            </w:pPr>
            <w:r>
              <w:rPr>
                <w:rFonts w:ascii="Arial" w:hAnsi="Arial" w:eastAsia="Arial" w:cs="Arial"/>
                <w:b/>
                <w:sz w:val="19"/>
                <w:szCs w:val="19"/>
              </w:rPr>
              <w:t xml:space="preserve">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Polyurethane dispersion</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9009-54-5</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28.0~31.0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Deionized 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53.0~57.0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N,N-Dimethylacetamide (DMAC)</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127-19-5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15.0~16.0</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rPr>
                <w:b/>
                <w:sz w:val="24"/>
              </w:rPr>
            </w:pPr>
            <w:r>
              <w:rPr>
                <w:rFonts w:ascii="Arial" w:hAnsi="Arial" w:eastAsia="Arial" w:cs="Arial"/>
                <w:b/>
                <w:sz w:val="22"/>
                <w:szCs w:val="22"/>
              </w:rPr>
              <w:t xml:space="preserve">4.First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4.1</w:t>
              <w:tab/>
            </w:r>
            <w:r>
              <w:rPr>
                <w:rFonts w:ascii="Arial" w:hAnsi="Arial" w:eastAsia="Arial" w:cs="Arial"/>
                <w:b/>
                <w:sz w:val="19"/>
                <w:szCs w:val="19"/>
              </w:rPr>
              <w:t xml:space="preserve">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4.2</w:t>
              <w:tab/>
            </w:r>
            <w:r>
              <w:rPr>
                <w:rFonts w:ascii="Arial" w:hAnsi="Arial" w:eastAsia="Arial" w:cs="Arial"/>
                <w:b/>
                <w:sz w:val="19"/>
                <w:szCs w:val="19"/>
              </w:rPr>
              <w:t xml:space="preserve">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4.3</w:t>
              <w:tab/>
            </w:r>
            <w:r>
              <w:rPr>
                <w:rFonts w:ascii="Arial" w:hAnsi="Arial" w:eastAsia="Arial" w:cs="Arial"/>
                <w:b/>
                <w:sz w:val="19"/>
                <w:szCs w:val="19"/>
              </w:rPr>
              <w:t xml:space="preserve">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4.4</w:t>
              <w:tab/>
            </w:r>
            <w:r>
              <w:rPr>
                <w:rFonts w:ascii="Arial" w:hAnsi="Arial" w:eastAsia="Arial" w:cs="Arial"/>
                <w:b/>
                <w:sz w:val="19"/>
                <w:szCs w:val="19"/>
              </w:rPr>
              <w:t xml:space="preserve">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4"/>
                <w:szCs w:val="24"/>
                <w:lang w:val="en-US" w:eastAsia="zh-CN" w:bidi="ar-SA"/>
              </w:rPr>
              <w:ind w:left="420" w:hanging="420"/>
            </w:pPr>
            <w:r>
              <w:rPr>
                <w:rFonts w:ascii="Arial" w:hAnsi="Arial" w:eastAsia="Arial" w:cs="Arial"/>
                <w:b/>
                <w:sz w:val="19"/>
                <w:szCs w:val="19"/>
              </w:rPr>
              <w:t xml:space="preserve">4.5</w:t>
              <w:tab/>
            </w:r>
            <w:r>
              <w:rPr>
                <w:rFonts w:ascii="Arial" w:hAnsi="Arial" w:eastAsia="Arial" w:cs="Arial"/>
                <w:b/>
                <w:sz w:val="19"/>
                <w:szCs w:val="19"/>
              </w:rPr>
              <w:t xml:space="preserve">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rPr>
                <w:b/>
                <w:sz w:val="24"/>
              </w:rPr>
            </w:pPr>
            <w:r>
              <w:rPr>
                <w:rFonts w:ascii="Arial" w:hAnsi="Arial" w:eastAsia="Arial" w:cs="Arial"/>
                <w:b/>
                <w:sz w:val="22"/>
                <w:szCs w:val="22"/>
              </w:rPr>
              <w:t xml:space="preserve">5.Fire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5.1</w:t>
              <w:tab/>
            </w:r>
            <w:r>
              <w:rPr>
                <w:rFonts w:ascii="Arial" w:hAnsi="Arial" w:eastAsia="Arial" w:cs="Arial"/>
                <w:b/>
                <w:sz w:val="19"/>
                <w:szCs w:val="19"/>
              </w:rPr>
              <w:t xml:space="preserve">Suitable extinguishing 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5.2</w:t>
              <w:tab/>
            </w:r>
            <w:r>
              <w:rPr>
                <w:rFonts w:ascii="Arial" w:hAnsi="Arial" w:eastAsia="Arial" w:cs="Arial"/>
                <w:b/>
                <w:sz w:val="19"/>
                <w:szCs w:val="19"/>
              </w:rPr>
              <w:t xml:space="preserve">Unsuitable extinguishing 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lang w:val="en-US" w:eastAsia="zh-CN"/>
              </w:rPr>
              <w:ind w:left="420" w:hanging="420"/>
            </w:pPr>
            <w:r>
              <w:rPr>
                <w:rFonts w:ascii="Arial" w:hAnsi="Arial" w:eastAsia="Arial" w:cs="Arial"/>
                <w:b/>
                <w:sz w:val="19"/>
                <w:szCs w:val="19"/>
              </w:rPr>
              <w:t xml:space="preserve">5.3</w:t>
              <w:tab/>
            </w:r>
            <w:r>
              <w:rPr>
                <w:rFonts w:ascii="Arial" w:hAnsi="Arial" w:eastAsia="Arial" w:cs="Arial"/>
                <w:b/>
                <w:sz w:val="19"/>
                <w:szCs w:val="19"/>
              </w:rPr>
              <w:t xml:space="preserve">Special hazards of 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5.4</w:t>
              <w:tab/>
            </w:r>
            <w:r>
              <w:rPr>
                <w:rFonts w:ascii="Arial" w:hAnsi="Arial" w:eastAsia="Arial" w:cs="Arial"/>
                <w:b/>
                <w:sz w:val="19"/>
                <w:szCs w:val="19"/>
              </w:rPr>
              <w:t xml:space="preserve">Firefighting precautions 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rPr>
                <w:b/>
                <w:sz w:val="24"/>
              </w:rPr>
            </w:pPr>
            <w:r>
              <w:rPr>
                <w:rFonts w:ascii="Arial" w:hAnsi="Arial" w:eastAsia="Arial" w:cs="Arial"/>
                <w:b/>
                <w:sz w:val="22"/>
                <w:szCs w:val="22"/>
              </w:rPr>
              <w:t xml:space="preserve">6.Measures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6.1</w:t>
              <w:tab/>
            </w:r>
            <w:r>
              <w:rPr>
                <w:rFonts w:ascii="Arial" w:hAnsi="Arial" w:eastAsia="Arial" w:cs="Arial"/>
                <w:b/>
                <w:sz w:val="19"/>
                <w:szCs w:val="19"/>
              </w:rPr>
              <w:t xml:space="preserve">Firefighting precautions 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jc w:val="left"/>
              <w:textAlignment w:val="auto"/>
              <w:rPr>
                <w:rFonts w:hint="eastAsia"/>
                <w:b/>
                <w:sz w:val="24"/>
              </w:rPr>
              <w:ind w:left="420" w:hanging="420"/>
            </w:pPr>
            <w:r>
              <w:rPr>
                <w:rFonts w:ascii="Arial" w:hAnsi="Arial" w:eastAsia="Arial" w:cs="Arial"/>
                <w:b/>
                <w:sz w:val="19"/>
                <w:szCs w:val="19"/>
              </w:rPr>
              <w:t xml:space="preserve">6.2</w:t>
              <w:tab/>
            </w:r>
            <w:r>
              <w:rPr>
                <w:rFonts w:ascii="Arial" w:hAnsi="Arial" w:eastAsia="Arial" w:cs="Arial"/>
                <w:b/>
                <w:sz w:val="19"/>
                <w:szCs w:val="19"/>
              </w:rPr>
              <w:t xml:space="preserve">Environmental 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6.3</w:t>
              <w:tab/>
            </w:r>
            <w:r>
              <w:rPr>
                <w:rFonts w:ascii="Arial" w:hAnsi="Arial" w:eastAsia="Arial" w:cs="Arial"/>
                <w:b/>
                <w:sz w:val="19"/>
                <w:szCs w:val="19"/>
              </w:rPr>
              <w:t xml:space="preserve">Methods and material for 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rPr>
                <w:b/>
                <w:sz w:val="24"/>
              </w:rPr>
            </w:pPr>
            <w:r>
              <w:rPr>
                <w:rFonts w:ascii="Arial" w:hAnsi="Arial" w:eastAsia="Arial" w:cs="Arial"/>
                <w:b/>
                <w:sz w:val="22"/>
                <w:szCs w:val="22"/>
              </w:rPr>
              <w:t xml:space="preserve">7.Operation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7.1</w:t>
              <w:tab/>
            </w:r>
            <w:r>
              <w:rPr>
                <w:rFonts w:ascii="Arial" w:hAnsi="Arial" w:eastAsia="Arial" w:cs="Arial"/>
                <w:b/>
                <w:sz w:val="19"/>
                <w:szCs w:val="19"/>
              </w:rPr>
              <w:t xml:space="preserve">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7.2</w:t>
              <w:tab/>
            </w:r>
            <w:r>
              <w:rPr>
                <w:rFonts w:ascii="Arial" w:hAnsi="Arial" w:eastAsia="Arial" w:cs="Arial"/>
                <w:b/>
                <w:sz w:val="19"/>
                <w:szCs w:val="19"/>
              </w:rPr>
              <w:t xml:space="preserve">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rPr>
                <w:b/>
                <w:sz w:val="24"/>
              </w:rPr>
            </w:pPr>
            <w:r>
              <w:rPr>
                <w:rFonts w:ascii="Arial" w:hAnsi="Arial" w:eastAsia="Arial" w:cs="Arial"/>
                <w:b/>
                <w:sz w:val="22"/>
                <w:szCs w:val="22"/>
              </w:rPr>
              <w:t xml:space="preserve">8.Exposure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ind w:left="420" w:hanging="420"/>
            </w:pPr>
            <w:r>
              <w:rPr>
                <w:rFonts w:ascii="Arial" w:hAnsi="Arial" w:eastAsia="Arial" w:cs="Arial"/>
                <w:b/>
                <w:sz w:val="19"/>
                <w:szCs w:val="19"/>
              </w:rPr>
              <w:t xml:space="preserve">8.1</w:t>
              <w:tab/>
            </w:r>
            <w:r>
              <w:rPr>
                <w:rFonts w:ascii="Arial" w:hAnsi="Arial" w:eastAsia="Arial" w:cs="Arial"/>
                <w:b/>
                <w:sz w:val="19"/>
                <w:szCs w:val="19"/>
              </w:rPr>
              <w:t xml:space="preserve">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rPr>
                <w:b/>
                <w:sz w:val="22"/>
                <w:szCs w:val="22"/>
              </w:rPr>
              <w:jc w:val="left"/>
            </w:pPr>
            <w:r>
              <w:rPr>
                <w:bCs w:val="0"/>
                <w:kern w:val="0"/>
                <w:rFonts w:ascii="Arial" w:hAnsi="Arial" w:eastAsia="Arial" w:cs="Arial"/>
                <w:sz w:val="19"/>
                <w:szCs w:val="19"/>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Hand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rPr>
                <w:rFonts w:hint="default" w:eastAsia="宋体"/>
                <w:b/>
                <w:sz w:val="22"/>
                <w:szCs w:val="22"/>
                <w:lang w:val="en-US" w:eastAsia="zh-CN"/>
              </w:rPr>
              <w:jc w:val="left"/>
            </w:pPr>
            <w:r>
              <w:rPr>
                <w:bCs w:val="0"/>
                <w:kern w:val="0"/>
                <w:rFonts w:ascii="Arial" w:hAnsi="Arial" w:eastAsia="Arial" w:cs="Arial"/>
                <w:sz w:val="19"/>
                <w:szCs w:val="19"/>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rPr>
                <w:rFonts w:cs="Arial"/>
                <w:kern w:val="0"/>
                <w:sz w:val="22"/>
                <w:szCs w:val="22"/>
              </w:rPr>
              <w:jc w:val="left"/>
            </w:pPr>
            <w:r>
              <w:rPr>
                <w:bCs w:val="0"/>
                <w:kern w:val="0"/>
                <w:rFonts w:ascii="Arial" w:hAnsi="Arial" w:eastAsia="Arial" w:cs="Arial"/>
                <w:sz w:val="19"/>
                <w:szCs w:val="19"/>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textAlignment w:val="auto"/>
              <w:rPr>
                <w:b/>
                <w:sz w:val="24"/>
              </w:rPr>
              <w:jc w:val="left"/>
            </w:pPr>
            <w:r>
              <w:rPr>
                <w:rFonts w:ascii="Arial" w:hAnsi="Arial" w:eastAsia="Arial" w:cs="Arial"/>
                <w:b/>
                <w:sz w:val="19"/>
                <w:szCs w:val="19"/>
              </w:rPr>
              <w:t xml:space="preserve">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rPr>
                <w:b/>
                <w:sz w:val="22"/>
                <w:szCs w:val="22"/>
              </w:rPr>
              <w:jc w:val="left"/>
            </w:pPr>
            <w:r>
              <w:rPr>
                <w:bCs w:val="0"/>
                <w:kern w:val="0"/>
                <w:rFonts w:ascii="Arial" w:hAnsi="Arial" w:eastAsia="Arial" w:cs="Arial"/>
                <w:sz w:val="19"/>
                <w:szCs w:val="19"/>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ind w:left="420" w:hanging="420"/>
            </w:pPr>
            <w:r>
              <w:rPr>
                <w:rFonts w:ascii="Arial" w:hAnsi="Arial" w:eastAsia="Arial" w:cs="Arial"/>
                <w:b/>
                <w:sz w:val="19"/>
                <w:szCs w:val="19"/>
              </w:rPr>
              <w:t xml:space="preserve">8.2</w:t>
              <w:tab/>
            </w:r>
            <w:r>
              <w:rPr>
                <w:rFonts w:ascii="Arial" w:hAnsi="Arial" w:eastAsia="Arial" w:cs="Arial"/>
                <w:b/>
                <w:sz w:val="19"/>
                <w:szCs w:val="19"/>
              </w:rPr>
              <w:t xml:space="preserve">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textAlignment w:val="auto"/>
              <w:rPr>
                <w:rFonts w:hint="default" w:hAnsi="Arial" w:cs="Times New Roman"/>
                <w:b/>
                <w:kern w:val="2"/>
                <w:sz w:val="22"/>
                <w:szCs w:val="22"/>
                <w:lang w:val="en-US" w:eastAsia="zh-CN" w:bidi="ar-SA"/>
              </w:rPr>
              <w:jc w:val="left"/>
            </w:pPr>
            <w:r>
              <w:rPr>
                <w:bCs w:val="0"/>
                <w:kern w:val="0"/>
                <w:rFonts w:ascii="Arial" w:hAnsi="Arial" w:eastAsia="Arial" w:cs="Arial"/>
                <w:sz w:val="19"/>
                <w:szCs w:val="19"/>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rPr>
                <w:b/>
                <w:sz w:val="24"/>
              </w:rPr>
            </w:pPr>
            <w:r>
              <w:rPr>
                <w:rFonts w:ascii="Arial" w:hAnsi="Arial" w:eastAsia="Arial" w:cs="Arial"/>
                <w:b/>
                <w:sz w:val="22"/>
                <w:szCs w:val="22"/>
              </w:rPr>
              <w:t xml:space="preserve">9.Physical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w:t>
              <w:tab/>
            </w:r>
            <w:r>
              <w:rPr>
                <w:rFonts w:ascii="Arial" w:hAnsi="Arial" w:eastAsia="Arial" w:cs="Arial"/>
                <w:b/>
                <w:sz w:val="19"/>
                <w:szCs w:val="19"/>
              </w:rPr>
              <w:t xml:space="preserve">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Transparent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w:t>
              <w:tab/>
            </w:r>
            <w:r>
              <w:rPr>
                <w:rFonts w:ascii="Arial" w:hAnsi="Arial" w:eastAsia="Arial" w:cs="Arial"/>
                <w:b/>
                <w:sz w:val="19"/>
                <w:szCs w:val="19"/>
              </w:rPr>
              <w:t xml:space="preserve">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9.3</w:t>
              <w:tab/>
            </w:r>
            <w:r>
              <w:rPr>
                <w:rFonts w:ascii="Arial" w:hAnsi="Arial" w:eastAsia="Arial" w:cs="Arial"/>
                <w:b/>
                <w:sz w:val="19"/>
                <w:szCs w:val="19"/>
              </w:rPr>
              <w:t xml:space="preserve">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9.4</w:t>
              <w:tab/>
            </w:r>
            <w:r>
              <w:rPr>
                <w:rFonts w:ascii="Arial" w:hAnsi="Arial" w:eastAsia="Arial" w:cs="Arial"/>
                <w:b/>
                <w:sz w:val="19"/>
                <w:szCs w:val="19"/>
              </w:rPr>
              <w:t xml:space="preserve">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9.5</w:t>
              <w:tab/>
            </w:r>
            <w:r>
              <w:rPr>
                <w:rFonts w:ascii="Arial" w:hAnsi="Arial" w:eastAsia="Arial" w:cs="Arial"/>
                <w:b/>
                <w:sz w:val="19"/>
                <w:szCs w:val="19"/>
              </w:rPr>
              <w:t xml:space="preserve">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9.6</w:t>
              <w:tab/>
            </w:r>
            <w:r>
              <w:rPr>
                <w:rFonts w:ascii="Arial" w:hAnsi="Arial" w:eastAsia="Arial" w:cs="Arial"/>
                <w:b/>
                <w:sz w:val="19"/>
                <w:szCs w:val="19"/>
              </w:rPr>
              <w:t xml:space="preserve">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9.7</w:t>
              <w:tab/>
            </w:r>
            <w:r>
              <w:rPr>
                <w:rFonts w:ascii="Arial" w:hAnsi="Arial" w:eastAsia="Arial" w:cs="Arial"/>
                <w:b/>
                <w:sz w:val="19"/>
                <w:szCs w:val="19"/>
              </w:rPr>
              <w:t xml:space="preserve">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9.8</w:t>
              <w:tab/>
            </w:r>
            <w:r>
              <w:rPr>
                <w:rFonts w:ascii="Arial" w:hAnsi="Arial" w:eastAsia="Arial" w:cs="Arial"/>
                <w:b/>
                <w:sz w:val="19"/>
                <w:szCs w:val="19"/>
              </w:rPr>
              <w:t xml:space="preserve">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9.9</w:t>
              <w:tab/>
            </w:r>
            <w:r>
              <w:rPr>
                <w:rFonts w:ascii="Arial" w:hAnsi="Arial" w:eastAsia="Arial" w:cs="Arial"/>
                <w:b/>
                <w:sz w:val="19"/>
                <w:szCs w:val="19"/>
              </w:rPr>
              <w:t xml:space="preserve">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4C42FE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9.10</w:t>
              <w:tab/>
            </w:r>
            <w:r>
              <w:rPr>
                <w:rFonts w:ascii="Arial" w:hAnsi="Arial" w:eastAsia="Arial" w:cs="Arial"/>
                <w:b/>
                <w:sz w:val="19"/>
                <w:szCs w:val="19"/>
              </w:rPr>
              <w:t xml:space="preserve">Saturated vapour pressure:</w:t>
            </w:r>
          </w:p>
        </w:tc>
        <w:tc>
          <w:tcPr>
            <w:tcW w:w="6277" w:type="dxa"/>
            <w:tcBorders>
              <w:top w:val="dotted" w:color="auto" w:sz="4" w:space="0"/>
              <w:left w:val="dotted" w:color="auto" w:sz="4" w:space="0"/>
              <w:bottom w:val="dotted" w:color="auto" w:sz="4" w:space="0"/>
            </w:tcBorders>
            <w:vAlign w:val="center"/>
          </w:tcPr>
          <w:p w14:paraId="28B70E5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9.11</w:t>
              <w:tab/>
            </w:r>
            <w:r>
              <w:rPr>
                <w:rFonts w:ascii="Arial" w:hAnsi="Arial" w:eastAsia="Arial" w:cs="Arial"/>
                <w:b/>
                <w:sz w:val="19"/>
                <w:szCs w:val="19"/>
              </w:rPr>
              <w:t xml:space="preserve">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9.12</w:t>
              <w:tab/>
            </w:r>
            <w:r>
              <w:rPr>
                <w:rFonts w:ascii="Arial" w:hAnsi="Arial" w:eastAsia="Arial" w:cs="Arial"/>
                <w:b/>
                <w:sz w:val="19"/>
                <w:szCs w:val="19"/>
              </w:rPr>
              <w:t xml:space="preserve">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1.0-1.1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9.13</w:t>
              <w:tab/>
            </w:r>
            <w:r>
              <w:rPr>
                <w:rFonts w:ascii="Arial" w:hAnsi="Arial" w:eastAsia="Arial" w:cs="Arial"/>
                <w:b/>
                <w:sz w:val="19"/>
                <w:szCs w:val="19"/>
              </w:rPr>
              <w:t xml:space="preserve">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9.14</w:t>
              <w:tab/>
            </w:r>
            <w:r>
              <w:rPr>
                <w:rFonts w:ascii="Arial" w:hAnsi="Arial" w:eastAsia="Arial" w:cs="Arial"/>
                <w:b/>
                <w:sz w:val="19"/>
                <w:szCs w:val="19"/>
              </w:rPr>
              <w:t xml:space="preserve">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9.15</w:t>
              <w:tab/>
            </w:r>
            <w:r>
              <w:rPr>
                <w:rFonts w:ascii="Arial" w:hAnsi="Arial" w:eastAsia="Arial" w:cs="Arial"/>
                <w:b/>
                <w:sz w:val="19"/>
                <w:szCs w:val="19"/>
              </w:rPr>
              <w:t xml:space="preserve">log Pow (n-octanol/water 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9.16</w:t>
              <w:tab/>
            </w:r>
            <w:r>
              <w:rPr>
                <w:rFonts w:ascii="Arial" w:hAnsi="Arial" w:eastAsia="Arial" w:cs="Arial"/>
                <w:b/>
                <w:sz w:val="19"/>
                <w:szCs w:val="19"/>
              </w:rPr>
              <w:t xml:space="preserve">Auto-ignition 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9.17</w:t>
              <w:tab/>
            </w:r>
            <w:r>
              <w:rPr>
                <w:rFonts w:ascii="Arial" w:hAnsi="Arial" w:eastAsia="Arial" w:cs="Arial"/>
                <w:b/>
                <w:sz w:val="19"/>
                <w:szCs w:val="19"/>
              </w:rPr>
              <w:t xml:space="preserve">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75A985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32E781C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9.18</w:t>
              <w:tab/>
            </w:r>
            <w:r>
              <w:rPr>
                <w:rFonts w:ascii="Arial" w:hAnsi="Arial" w:eastAsia="Arial" w:cs="Arial"/>
                <w:b/>
                <w:sz w:val="19"/>
                <w:szCs w:val="19"/>
              </w:rPr>
              <w:t xml:space="preserve">Decomposition temperature:</w:t>
            </w:r>
          </w:p>
        </w:tc>
        <w:tc>
          <w:tcPr>
            <w:tcW w:w="6277" w:type="dxa"/>
            <w:tcBorders>
              <w:top w:val="dotted" w:color="auto" w:sz="4" w:space="0"/>
              <w:left w:val="dotted" w:color="auto" w:sz="4" w:space="0"/>
              <w:bottom w:val="dotted" w:color="auto" w:sz="4" w:space="0"/>
            </w:tcBorders>
            <w:vAlign w:val="center"/>
          </w:tcPr>
          <w:p w14:paraId="025D078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9.19</w:t>
              <w:tab/>
            </w:r>
            <w:r>
              <w:rPr>
                <w:rFonts w:ascii="Arial" w:hAnsi="Arial" w:eastAsia="Arial" w:cs="Arial"/>
                <w:b/>
                <w:sz w:val="19"/>
                <w:szCs w:val="19"/>
              </w:rPr>
              <w:t xml:space="preserve">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&lt; 250mPa.s</w:t>
            </w:r>
          </w:p>
        </w:tc>
      </w:tr>
      <w:tr w14:paraId="19AEBE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37CF3C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9.20</w:t>
              <w:tab/>
            </w:r>
            <w:r>
              <w:rPr>
                <w:rFonts w:ascii="Arial" w:hAnsi="Arial" w:eastAsia="Arial" w:cs="Arial"/>
                <w:b/>
                <w:sz w:val="19"/>
                <w:szCs w:val="19"/>
              </w:rPr>
              <w:t xml:space="preserve">Explosive properties:</w:t>
            </w:r>
          </w:p>
        </w:tc>
        <w:tc>
          <w:tcPr>
            <w:tcW w:w="6277" w:type="dxa"/>
            <w:tcBorders>
              <w:top w:val="dotted" w:color="auto" w:sz="4" w:space="0"/>
              <w:left w:val="dotted" w:color="auto" w:sz="4" w:space="0"/>
              <w:bottom w:val="dotted" w:color="auto" w:sz="4" w:space="0"/>
            </w:tcBorders>
            <w:vAlign w:val="center"/>
          </w:tcPr>
          <w:p w14:paraId="34BB478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5688A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2D27CAA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9.21</w:t>
              <w:tab/>
            </w:r>
            <w:r>
              <w:rPr>
                <w:rFonts w:ascii="Arial" w:hAnsi="Arial" w:eastAsia="Arial" w:cs="Arial"/>
                <w:b/>
                <w:sz w:val="19"/>
                <w:szCs w:val="19"/>
              </w:rPr>
              <w:t xml:space="preserve">Dust explosion class:</w:t>
            </w:r>
          </w:p>
        </w:tc>
        <w:tc>
          <w:tcPr>
            <w:tcW w:w="6277" w:type="dxa"/>
            <w:tcBorders>
              <w:top w:val="dotted" w:color="auto" w:sz="4" w:space="0"/>
              <w:left w:val="dotted" w:color="auto" w:sz="4" w:space="0"/>
              <w:bottom w:val="dotted" w:color="auto" w:sz="4" w:space="0"/>
            </w:tcBorders>
            <w:vAlign w:val="center"/>
          </w:tcPr>
          <w:p w14:paraId="6AF3D94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9.22</w:t>
              <w:tab/>
            </w:r>
            <w:r>
              <w:rPr>
                <w:rFonts w:ascii="Arial" w:hAnsi="Arial" w:eastAsia="Arial" w:cs="Arial"/>
                <w:b/>
                <w:sz w:val="19"/>
                <w:szCs w:val="19"/>
              </w:rPr>
              <w:t xml:space="preserve">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30±2%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9.23</w:t>
              <w:tab/>
            </w:r>
            <w:r>
              <w:rPr>
                <w:rFonts w:ascii="Arial" w:hAnsi="Arial" w:eastAsia="Arial" w:cs="Arial"/>
                <w:b/>
                <w:sz w:val="19"/>
                <w:szCs w:val="19"/>
              </w:rPr>
              <w:t xml:space="preserve">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rPr>
                <w:b/>
                <w:sz w:val="24"/>
              </w:rPr>
            </w:pPr>
            <w:r>
              <w:rPr>
                <w:rFonts w:ascii="Arial" w:hAnsi="Arial" w:eastAsia="Arial" w:cs="Arial"/>
                <w:b/>
                <w:sz w:val="22"/>
                <w:szCs w:val="22"/>
              </w:rPr>
              <w:t xml:space="preserve">10.Stability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10.1</w:t>
              <w:tab/>
            </w:r>
            <w:r>
              <w:rPr>
                <w:rFonts w:ascii="Arial" w:hAnsi="Arial" w:eastAsia="Arial" w:cs="Arial"/>
                <w:b/>
                <w:sz w:val="19"/>
                <w:szCs w:val="19"/>
              </w:rPr>
              <w:t xml:space="preserve">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10.2</w:t>
              <w:tab/>
            </w:r>
            <w:r>
              <w:rPr>
                <w:rFonts w:ascii="Arial" w:hAnsi="Arial" w:eastAsia="Arial" w:cs="Arial"/>
                <w:b/>
                <w:sz w:val="19"/>
                <w:szCs w:val="19"/>
              </w:rPr>
              <w:t xml:space="preserve">Decomposition temperature:</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eastAsia="zh-CN"/>
              </w:rPr>
              <w:jc w:val="left"/>
            </w:pPr>
            <w:r>
              <w:rPr>
                <w:bCs w:val="0"/>
                <w:kern w:val="0"/>
                <w:rFonts w:ascii="Arial" w:hAnsi="Arial" w:eastAsia="Arial" w:cs="Arial"/>
                <w:sz w:val="19"/>
                <w:szCs w:val="19"/>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10.3</w:t>
              <w:tab/>
            </w:r>
            <w:r>
              <w:rPr>
                <w:rFonts w:ascii="Arial" w:hAnsi="Arial" w:eastAsia="Arial" w:cs="Arial"/>
                <w:b/>
                <w:sz w:val="19"/>
                <w:szCs w:val="19"/>
              </w:rPr>
              <w:t xml:space="preserve">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rPr>
                <w:b/>
                <w:sz w:val="24"/>
              </w:rPr>
            </w:pPr>
            <w:r>
              <w:rPr>
                <w:rFonts w:ascii="Arial" w:hAnsi="Arial" w:eastAsia="Arial" w:cs="Arial"/>
                <w:b/>
                <w:sz w:val="22"/>
                <w:szCs w:val="22"/>
              </w:rPr>
              <w:t xml:space="preserve">11.Toxicity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single" w:color="auto" w:sz="4" w:space="0"/>
              <w:bottom w:val="dotted" w:color="auto" w:sz="4" w:space="0"/>
            </w:tcBorders>
          </w:tcPr>
          <w:p w14:paraId="22A157D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hint="eastAsia" w:cs="Arial" w:eastAsia="宋体" w:ascii="Arial" w:hAnsi="Arial"/>
                <w:b w:val="0"/>
                <w:bCs w:val="0"/>
                <w:kern w:val="0"/>
                <w:sz w:val="24"/>
                <w:szCs w:val="24"/>
                <w:lang w:val="en-US" w:eastAsia="zh-CN"/>
              </w:rPr>
              <w:t>No toxicological studies were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dotted" w:color="auto" w:sz="4" w:space="0"/>
              <w:bottom w:val="dotted" w:color="auto" w:sz="4" w:space="0"/>
            </w:tcBorders>
            <w:gridSpan w:val="4"/>
            <w:tcW w:w="9781" w:type="dxa"/>
          </w:tcPr>
          <w:p>
            <w:pPr>
              <w:spacing w:line="300" w:lineRule="auto"/>
              <w:ind w:left="34" w:leftChars="16" w:right="480"/>
              <w:jc w:val="left"/>
              <w:rPr>
                <w:sz w:val="24"/>
              </w:rPr>
            </w:pPr>
            <w:r>
              <w:rPr>
                <w:rFonts w:ascii="Arial" w:hAnsi="Arial"/>
                <w:b w:val="0"/>
                <w:sz w:val="24"/>
                <w:szCs w:val="24"/>
              </w:rPr>
              <w:t xml:space="preserve">The following is toxicological data for N,N-Dimethylacetamide:</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5B72C76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11.1</w:t>
              <w:tab/>
            </w:r>
            <w:r>
              <w:rPr>
                <w:rFonts w:ascii="Arial" w:hAnsi="Arial" w:eastAsia="Arial" w:cs="Arial"/>
                <w:b/>
                <w:sz w:val="19"/>
                <w:szCs w:val="19"/>
              </w:rPr>
              <w:t xml:space="preserve">Acute toxicity:</w:t>
            </w:r>
          </w:p>
        </w:tc>
        <w:tc>
          <w:tcPr>
            <w:tcW w:w="1924" w:type="dxa"/>
            <w:tcBorders>
              <w:top w:val="dotted" w:color="auto" w:sz="4" w:space="0"/>
              <w:left w:val="dotted" w:color="auto" w:sz="4" w:space="0"/>
              <w:bottom w:val="dotted" w:color="auto" w:sz="4" w:space="0"/>
              <w:right w:val="dotted" w:color="auto" w:sz="4" w:space="0"/>
            </w:tcBorders>
            <w:vAlign w:val="center"/>
          </w:tcPr>
          <w:p w14:paraId="53CFEB9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b/>
                <w:bCs/>
                <w:sz w:val="24"/>
                <w:szCs w:val="24"/>
                <w:lang w:val="en-US" w:eastAsia="zh-CN"/>
              </w:rPr>
              <w:jc w:val="left"/>
            </w:pPr>
            <w:r>
              <w:rPr>
                <w:rFonts w:ascii="Arial" w:hAnsi="Arial" w:eastAsia="Arial" w:cs="Arial"/>
                <w:b/>
                <w:sz w:val="19"/>
                <w:szCs w:val="19"/>
              </w:rPr>
              <w:t xml:space="preserve">Oral:</w:t>
            </w:r>
          </w:p>
        </w:tc>
        <w:tc>
          <w:tcPr>
            <w:tcW w:w="4338" w:type="dxa"/>
            <w:gridSpan w:val="2"/>
            <w:tcBorders>
              <w:top w:val="dotted" w:color="auto" w:sz="4" w:space="0"/>
              <w:left w:val="dotted" w:color="auto" w:sz="4" w:space="0"/>
              <w:bottom w:val="dotted" w:color="auto" w:sz="4" w:space="0"/>
            </w:tcBorders>
            <w:vAlign w:val="center"/>
          </w:tcPr>
          <w:p w14:paraId="6EC890C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LD50 / Oral / Rat: 3,000-6,000mg/kg</w:t>
            </w:r>
          </w:p>
        </w:tc>
      </w:tr>
      <w:tr w14:paraId="7C33C7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7BB29EF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039D3D3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lang w:val="en-US" w:eastAsia="zh-CN"/>
              </w:rPr>
              <w:jc w:val="left"/>
            </w:pPr>
            <w:r>
              <w:rPr>
                <w:rFonts w:ascii="Arial" w:hAnsi="Arial" w:eastAsia="Arial" w:cs="Arial"/>
                <w:b/>
                <w:sz w:val="19"/>
                <w:szCs w:val="19"/>
              </w:rPr>
              <w:t xml:space="preserve">Inhalation:</w:t>
            </w:r>
          </w:p>
        </w:tc>
        <w:tc>
          <w:tcPr>
            <w:tcW w:w="4338" w:type="dxa"/>
            <w:gridSpan w:val="2"/>
            <w:tcBorders>
              <w:top w:val="dotted" w:color="auto" w:sz="4" w:space="0"/>
              <w:left w:val="dotted" w:color="auto" w:sz="4" w:space="0"/>
              <w:bottom w:val="dotted" w:color="auto" w:sz="4" w:space="0"/>
            </w:tcBorders>
            <w:vAlign w:val="center"/>
          </w:tcPr>
          <w:p w14:paraId="79B94EE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LC50 / Inhalation / 1h / Rat: 8.81mg/l(applicable only where respirable aerosols are formed)</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C3C70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11.2</w:t>
              <w:tab/>
            </w:r>
            <w:r>
              <w:rPr>
                <w:rFonts w:ascii="Arial" w:hAnsi="Arial" w:eastAsia="Arial" w:cs="Arial"/>
                <w:b/>
                <w:sz w:val="19"/>
                <w:szCs w:val="19"/>
              </w:rPr>
              <w:t xml:space="preserve">Primary skin irritation: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sz w:val="19"/>
                <w:szCs w:val="19"/>
              </w:rPr>
              <w:t xml:space="preserve">Species: Rabbit</w:t>
            </w:r>
          </w:p>
          <w:p>
            <w:pPr>
              <w:spacing w:line="300" w:lineRule="auto"/>
              <w:rPr>
                <w:sz w:val="24"/>
              </w:rPr>
              <w:jc w:val="left"/>
            </w:pPr>
            <w:r>
              <w:rPr>
                <w:rFonts w:ascii="Arial" w:hAnsi="Arial" w:eastAsia="Arial" w:cs="Arial"/>
                <w:sz w:val="19"/>
                <w:szCs w:val="19"/>
              </w:rPr>
              <w:t xml:space="preserve">Classification: Irritating to skin</w:t>
            </w:r>
          </w:p>
          <w:p>
            <w:pPr>
              <w:spacing w:line="300" w:lineRule="auto"/>
              <w:rPr>
                <w:sz w:val="24"/>
              </w:rPr>
              <w:jc w:val="left"/>
            </w:pPr>
            <w:r>
              <w:rPr>
                <w:rFonts w:ascii="Arial" w:hAnsi="Arial" w:eastAsia="Arial" w:cs="Arial"/>
                <w:sz w:val="19"/>
                <w:szCs w:val="19"/>
              </w:rPr>
              <w:t xml:space="preserve">Result: Mild skin irritation</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5D2D0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11.3</w:t>
              <w:tab/>
            </w:r>
            <w:r>
              <w:rPr>
                <w:rFonts w:ascii="Arial" w:hAnsi="Arial" w:eastAsia="Arial" w:cs="Arial"/>
                <w:b/>
                <w:sz w:val="19"/>
                <w:szCs w:val="19"/>
              </w:rPr>
              <w:t xml:space="preserve">Primary eye irritation: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sz w:val="19"/>
                <w:szCs w:val="19"/>
              </w:rPr>
              <w:t xml:space="preserve">Species: Rabbit</w:t>
            </w:r>
          </w:p>
          <w:p>
            <w:pPr>
              <w:spacing w:line="300" w:lineRule="auto"/>
              <w:rPr>
                <w:sz w:val="24"/>
              </w:rPr>
              <w:jc w:val="left"/>
            </w:pPr>
            <w:r>
              <w:rPr>
                <w:rFonts w:ascii="Arial" w:hAnsi="Arial" w:eastAsia="Arial" w:cs="Arial"/>
                <w:sz w:val="19"/>
                <w:szCs w:val="19"/>
              </w:rPr>
              <w:t xml:space="preserve">Classification: Irritating to eyes</w:t>
            </w:r>
          </w:p>
          <w:p>
            <w:pPr>
              <w:spacing w:line="300" w:lineRule="auto"/>
              <w:rPr>
                <w:sz w:val="24"/>
              </w:rPr>
              <w:jc w:val="left"/>
            </w:pPr>
            <w:r>
              <w:rPr>
                <w:rFonts w:ascii="Arial" w:hAnsi="Arial" w:eastAsia="Arial" w:cs="Arial"/>
                <w:sz w:val="19"/>
                <w:szCs w:val="19"/>
              </w:rPr>
              <w:t xml:space="preserve">Result: Mild eye irritation</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0CA5A11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11.4</w:t>
              <w:tab/>
            </w:r>
            <w:r>
              <w:rPr>
                <w:rFonts w:ascii="Arial" w:hAnsi="Arial" w:eastAsia="Arial" w:cs="Arial"/>
                <w:b/>
                <w:sz w:val="19"/>
                <w:szCs w:val="19"/>
              </w:rPr>
              <w:t xml:space="preserve">Sensitization: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sz w:val="19"/>
                <w:szCs w:val="19"/>
              </w:rPr>
              <w:t xml:space="preserve">Species: Guinea pig</w:t>
            </w:r>
          </w:p>
          <w:p>
            <w:pPr>
              <w:spacing w:line="300" w:lineRule="auto"/>
              <w:rPr>
                <w:sz w:val="24"/>
              </w:rPr>
              <w:jc w:val="left"/>
            </w:pPr>
            <w:r>
              <w:rPr>
                <w:rFonts w:ascii="Arial" w:hAnsi="Arial" w:eastAsia="Arial" w:cs="Arial"/>
                <w:sz w:val="19"/>
                <w:szCs w:val="19"/>
              </w:rPr>
              <w:t xml:space="preserve">Classification: Not a skin sensitizer</w:t>
            </w:r>
          </w:p>
          <w:p>
            <w:pPr>
              <w:spacing w:line="300" w:lineRule="auto"/>
              <w:rPr>
                <w:sz w:val="24"/>
              </w:rPr>
              <w:jc w:val="left"/>
            </w:pPr>
            <w:r>
              <w:rPr>
                <w:rFonts w:ascii="Arial" w:hAnsi="Arial" w:eastAsia="Arial" w:cs="Arial"/>
                <w:sz w:val="19"/>
                <w:szCs w:val="19"/>
              </w:rPr>
              <w:t xml:space="preserve">Result: Did not cause sensitization in laboratory animals</w:t>
            </w:r>
          </w:p>
          <w:p>
            <w:pPr>
              <w:spacing w:line="300" w:lineRule="auto"/>
              <w:rPr>
                <w:sz w:val="24"/>
              </w:rPr>
              <w:jc w:val="left"/>
            </w:pPr>
            <w:r>
              <w:rPr>
                <w:rFonts w:ascii="Arial" w:hAnsi="Arial" w:eastAsia="Arial" w:cs="Arial"/>
                <w:sz w:val="19"/>
                <w:szCs w:val="19"/>
              </w:rPr>
              <w:t xml:space="preserve">Species: Human</w:t>
            </w:r>
          </w:p>
          <w:p>
            <w:pPr>
              <w:spacing w:line="300" w:lineRule="auto"/>
              <w:rPr>
                <w:sz w:val="24"/>
              </w:rPr>
              <w:jc w:val="left"/>
            </w:pPr>
            <w:r>
              <w:rPr>
                <w:rFonts w:ascii="Arial" w:hAnsi="Arial" w:eastAsia="Arial" w:cs="Arial"/>
                <w:sz w:val="19"/>
                <w:szCs w:val="19"/>
              </w:rPr>
              <w:t xml:space="preserve">Classification: Not a skin sensitizer</w:t>
            </w:r>
          </w:p>
          <w:p>
            <w:pPr>
              <w:spacing w:line="300" w:lineRule="auto"/>
              <w:rPr>
                <w:sz w:val="24"/>
              </w:rPr>
              <w:jc w:val="left"/>
            </w:pPr>
            <w:r>
              <w:rPr>
                <w:rFonts w:ascii="Arial" w:hAnsi="Arial" w:eastAsia="Arial" w:cs="Arial"/>
                <w:sz w:val="19"/>
                <w:szCs w:val="19"/>
              </w:rPr>
              <w:t xml:space="preserve">Result: Patch test on human volunteers demonstrated no sensitizing properties</w:t>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7B49E7B">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11.5</w:t>
              <w:tab/>
            </w:r>
            <w:r>
              <w:rPr>
                <w:rFonts w:ascii="Arial" w:hAnsi="Arial" w:eastAsia="Arial" w:cs="Arial"/>
                <w:b/>
                <w:sz w:val="19"/>
                <w:szCs w:val="19"/>
              </w:rPr>
              <w:t xml:space="preserve">Mutagenicity:</w:t>
            </w:r>
          </w:p>
        </w:tc>
        <w:tc>
          <w:tcPr>
            <w:tcW w:w="6262" w:type="dxa"/>
            <w:gridSpan w:val="3"/>
            <w:tcBorders>
              <w:top w:val="dotted" w:color="auto" w:sz="4" w:space="0"/>
              <w:left w:val="dotted" w:color="auto" w:sz="4" w:space="0"/>
              <w:bottom w:val="dotted" w:color="auto" w:sz="4" w:space="0"/>
            </w:tcBorders>
            <w:vAlign w:val="center"/>
          </w:tcPr>
          <w:p w14:paraId="7541511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rFonts w:ascii="Arial" w:hAnsi="Arial" w:eastAsia="Arial" w:cs="Arial"/>
                <w:sz w:val="19"/>
                <w:szCs w:val="19"/>
              </w:rPr>
              <w:t>Did not cause genetic damage in bacterial cell culture. Did not cause genetic damage in mammalian cell culture. Evidence indicates substance does not cause genetic damage in animals.</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3115F2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11.6</w:t>
              <w:tab/>
            </w:r>
            <w:r>
              <w:rPr>
                <w:rFonts w:ascii="Arial" w:hAnsi="Arial" w:eastAsia="Arial" w:cs="Arial"/>
                <w:b/>
                <w:sz w:val="19"/>
                <w:szCs w:val="19"/>
              </w:rPr>
              <w:t xml:space="preserve">Carcinogenicity:</w:t>
            </w:r>
          </w:p>
        </w:tc>
        <w:tc>
          <w:tcPr>
            <w:tcW w:w="6262" w:type="dxa"/>
            <w:gridSpan w:val="3"/>
            <w:tcBorders>
              <w:top w:val="dotted" w:color="auto" w:sz="4" w:space="0"/>
              <w:left w:val="dotted" w:color="auto" w:sz="4" w:space="0"/>
              <w:bottom w:val="dotted" w:color="auto" w:sz="4" w:space="0"/>
            </w:tcBorders>
            <w:vAlign w:val="center"/>
          </w:tcPr>
          <w:p w14:paraId="093BEC9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lang w:val="en-US" w:eastAsia="zh-CN"/>
                <w:rFonts w:ascii="Arial" w:hAnsi="Arial" w:eastAsia="Arial" w:cs="Arial"/>
                <w:sz w:val="19"/>
                <w:szCs w:val="19"/>
              </w:rPr>
              <w:t>No carcinogenic effects observed in animal studies.</w:t>
            </w:r>
          </w:p>
        </w:tc>
      </w:tr>
      <w:tr w14:paraId="6407FC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3442E5A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11.7</w:t>
              <w:tab/>
            </w:r>
            <w:r>
              <w:rPr>
                <w:rFonts w:ascii="Arial" w:hAnsi="Arial" w:eastAsia="Arial" w:cs="Arial"/>
                <w:b/>
                <w:sz w:val="19"/>
                <w:szCs w:val="19"/>
              </w:rPr>
              <w:t xml:space="preserve">Reproductive toxicity:</w:t>
            </w:r>
          </w:p>
        </w:tc>
        <w:tc>
          <w:tcPr>
            <w:tcW w:w="6262" w:type="dxa"/>
            <w:tcBorders>
              <w:top w:val="dotted" w:color="auto" w:sz="4" w:space="0"/>
              <w:left w:val="dotted" w:color="auto" w:sz="4" w:space="0"/>
              <w:bottom w:val="dotted" w:color="auto" w:sz="4" w:space="0"/>
            </w:tcBorders>
            <w:vAlign w:val="center"/>
            <w:gridSpan w:val="3"/>
          </w:tcPr>
          <w:p w14:paraId="696E91D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sz w:val="24"/>
                <w:szCs w:val="24"/>
                <w:lang w:val="en-US" w:eastAsia="zh-CN"/>
              </w:rPr>
              <w:jc w:val="left"/>
            </w:pPr>
            <w:r>
              <w:rPr>
                <w:bCs w:val="0"/>
                <w:lang w:val="en-US" w:eastAsia="zh-CN"/>
                <w:rFonts w:ascii="Arial" w:hAnsi="Arial" w:eastAsia="Arial" w:cs="Arial"/>
                <w:sz w:val="19"/>
                <w:szCs w:val="19"/>
              </w:rPr>
              <w:t>Animal testing showed no reproductive toxicity. Animal experiments showed effects on the embryo at levels below those causing maternal toxicity. Reduced embryo-fetal viability, slow fetal development (variations), fetal malformations.</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ACDD9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11.8</w:t>
              <w:tab/>
            </w:r>
            <w:r>
              <w:rPr>
                <w:rFonts w:ascii="Arial" w:hAnsi="Arial" w:eastAsia="Arial" w:cs="Arial"/>
                <w:b/>
                <w:sz w:val="19"/>
                <w:szCs w:val="19"/>
              </w:rPr>
              <w:t xml:space="preserve">Specific target organ toxicity (single/repeated exposure):</w:t>
            </w:r>
          </w:p>
        </w:tc>
        <w:tc>
          <w:tcPr>
            <w:tcW w:w="6262" w:type="dxa"/>
            <w:gridSpan w:val="3"/>
            <w:tcBorders>
              <w:top w:val="dotted" w:color="auto" w:sz="4" w:space="0"/>
              <w:left w:val="dotted" w:color="auto" w:sz="4" w:space="0"/>
              <w:bottom w:val="dotted" w:color="auto" w:sz="4" w:space="0"/>
            </w:tcBorders>
            <w:vAlign w:val="center"/>
          </w:tcPr>
          <w:p w14:paraId="5D0C0A1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No data available.</w:t>
            </w:r>
          </w:p>
        </w:tc>
      </w:tr>
      <w:tr w14:paraId="4CDF0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F3F3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11.9</w:t>
              <w:tab/>
            </w:r>
            <w:r>
              <w:rPr>
                <w:rFonts w:ascii="Arial" w:hAnsi="Arial" w:eastAsia="Arial" w:cs="Arial"/>
                <w:b/>
                <w:sz w:val="19"/>
                <w:szCs w:val="19"/>
              </w:rPr>
              <w:t xml:space="preserve">Aspiration hazard:</w:t>
            </w:r>
          </w:p>
        </w:tc>
        <w:tc>
          <w:tcPr>
            <w:tcW w:w="6262" w:type="dxa"/>
            <w:gridSpan w:val="3"/>
            <w:tcBorders>
              <w:top w:val="dotted" w:color="auto" w:sz="4" w:space="0"/>
              <w:left w:val="dotted" w:color="auto" w:sz="4" w:space="0"/>
              <w:bottom w:val="dotted" w:color="auto" w:sz="4" w:space="0"/>
            </w:tcBorders>
            <w:vAlign w:val="center"/>
          </w:tcPr>
          <w:p w14:paraId="59099FE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No data available.</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right w:val="dotted" w:color="auto" w:sz="4" w:space="0"/>
            </w:tcBorders>
            <w:vAlign w:val="center"/>
          </w:tcPr>
          <w:p w14:paraId="2CE8DB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11.10</w:t>
              <w:tab/>
            </w:r>
            <w:r>
              <w:rPr>
                <w:rFonts w:ascii="Arial" w:hAnsi="Arial" w:eastAsia="Arial" w:cs="Arial"/>
                <w:b/>
                <w:sz w:val="19"/>
                <w:szCs w:val="19"/>
              </w:rPr>
              <w:t xml:space="preserve">Additional information:</w:t>
            </w:r>
          </w:p>
        </w:tc>
        <w:tc>
          <w:tcPr>
            <w:tcW w:w="6262" w:type="dxa"/>
            <w:gridSpan w:val="3"/>
            <w:tcBorders>
              <w:top w:val="dotted" w:color="auto" w:sz="4" w:space="0"/>
              <w:left w:val="dotted" w:color="auto" w:sz="4" w:space="0"/>
            </w:tcBorders>
            <w:vAlign w:val="center"/>
          </w:tcPr>
          <w:p>
            <w:pPr>
              <w:spacing w:line="300" w:lineRule="auto"/>
              <w:rPr>
                <w:sz w:val="24"/>
              </w:rPr>
              <w:jc w:val="left"/>
            </w:pPr>
            <w:r>
              <w:rPr>
                <w:rFonts w:ascii="Arial" w:hAnsi="Arial" w:eastAsia="Arial" w:cs="Arial"/>
                <w:sz w:val="19"/>
                <w:szCs w:val="19"/>
              </w:rPr>
              <w:t xml:space="preserve">Consumption of alcoholic beverages may aggravate toxic effects.</w:t>
            </w:r>
          </w:p>
          <w:p>
            <w:pPr>
              <w:spacing w:line="300" w:lineRule="auto"/>
              <w:rPr>
                <w:sz w:val="24"/>
              </w:rPr>
              <w:jc w:val="left"/>
            </w:pPr>
            <w:r>
              <w:rPr>
                <w:rFonts w:ascii="Arial" w:hAnsi="Arial" w:eastAsia="Arial" w:cs="Arial"/>
                <w:sz w:val="19"/>
                <w:szCs w:val="19"/>
              </w:rPr>
              <w:t xml:space="preserve">Repeated dose toxicity: Oral</w:t>
            </w:r>
          </w:p>
          <w:p>
            <w:pPr>
              <w:spacing w:line="300" w:lineRule="auto"/>
              <w:rPr>
                <w:sz w:val="24"/>
              </w:rPr>
              <w:jc w:val="left"/>
            </w:pPr>
            <w:r>
              <w:rPr>
                <w:rFonts w:ascii="Arial" w:hAnsi="Arial" w:eastAsia="Arial" w:cs="Arial"/>
                <w:sz w:val="19"/>
                <w:szCs w:val="19"/>
              </w:rPr>
              <w:t xml:space="preserve">Pathological changes: stomach, testes, liver, kidneys, abnormal reduction of red blood cells.</w:t>
            </w:r>
          </w:p>
          <w:p>
            <w:pPr>
              <w:spacing w:line="300" w:lineRule="auto"/>
              <w:rPr>
                <w:sz w:val="24"/>
              </w:rPr>
              <w:jc w:val="left"/>
            </w:pPr>
            <w:r>
              <w:rPr>
                <w:rFonts w:ascii="Arial" w:hAnsi="Arial" w:eastAsia="Arial" w:cs="Arial"/>
                <w:sz w:val="19"/>
                <w:szCs w:val="19"/>
              </w:rPr>
              <w:t xml:space="preserve">Repeated dose toxicity: Inhalation</w:t>
            </w:r>
          </w:p>
          <w:p>
            <w:pPr>
              <w:spacing w:line="300" w:lineRule="auto"/>
              <w:rPr>
                <w:sz w:val="24"/>
              </w:rPr>
              <w:jc w:val="left"/>
            </w:pPr>
            <w:r>
              <w:rPr>
                <w:rFonts w:ascii="Arial" w:hAnsi="Arial" w:eastAsia="Arial" w:cs="Arial"/>
                <w:sz w:val="19"/>
                <w:szCs w:val="19"/>
              </w:rPr>
              <w:t xml:space="preserve">Pathological changes: kidney and liver effects, retinal damage.</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rPr>
                <w:b/>
                <w:sz w:val="24"/>
              </w:rPr>
            </w:pPr>
            <w:r>
              <w:rPr>
                <w:rFonts w:ascii="Arial" w:hAnsi="Arial" w:eastAsia="Arial" w:cs="Arial"/>
                <w:b/>
                <w:sz w:val="22"/>
                <w:szCs w:val="22"/>
              </w:rPr>
              <w:t xml:space="preserve">12.Ecological information</w:t>
            </w:r>
          </w:p>
        </w:tc>
      </w:tr>
      <w:tr w14:paraId="73173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single" w:color="auto" w:sz="4" w:space="0"/>
              <w:bottom w:val="dotted" w:color="auto" w:sz="4" w:space="0"/>
            </w:tcBorders>
            <w:shd w:val="clear" w:color="auto" w:fill="auto"/>
            <w:vAlign w:val="center"/>
          </w:tcPr>
          <w:p w14:paraId="580BB7A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rFonts w:ascii="Arial" w:hAnsi="Arial" w:eastAsia="Arial" w:cs="Arial"/>
                <w:sz w:val="19"/>
                <w:szCs w:val="19"/>
              </w:rPr>
              <w:t xml:space="preserve">No ecotoxicological studies are available for this product.</w:t>
            </w:r>
          </w:p>
        </w:tc>
      </w:tr>
      <w:tr w14:paraId="3AB6E8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dotted" w:color="auto" w:sz="4" w:space="0"/>
              <w:bottom w:val="dotted" w:color="auto" w:sz="4" w:space="0"/>
            </w:tcBorders>
            <w:shd w:val="clear" w:color="auto" w:fill="auto"/>
            <w:vAlign w:val="center"/>
          </w:tcPr>
          <w:p w14:paraId="716EDF0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rFonts w:ascii="Arial" w:hAnsi="Arial" w:eastAsia="Arial" w:cs="Arial"/>
                <w:sz w:val="19"/>
                <w:szCs w:val="19"/>
              </w:rPr>
              <w:t xml:space="preserve">The following are ecotoxicological data for N,N-Dimethylacetamide:</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eastAsia="宋体"/>
                <w:sz w:val="24"/>
                <w:lang w:val="en-US" w:eastAsia="zh-CN"/>
              </w:rPr>
              <w:ind w:left="420" w:hanging="420"/>
            </w:pPr>
            <w:r>
              <w:rPr>
                <w:rFonts w:ascii="Arial" w:hAnsi="Arial" w:eastAsia="Arial" w:cs="Arial"/>
                <w:b/>
                <w:sz w:val="19"/>
                <w:szCs w:val="19"/>
              </w:rPr>
              <w:t xml:space="preserve">12.1</w:t>
              <w:tab/>
            </w:r>
            <w:r>
              <w:rPr>
                <w:rFonts w:ascii="Arial" w:hAnsi="Arial" w:eastAsia="Arial" w:cs="Arial"/>
                <w:b/>
                <w:sz w:val="19"/>
                <w:szCs w:val="19"/>
              </w:rPr>
              <w:t xml:space="preserve">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Toxicity to fish:</w:t>
              <w:br/>
              <w:t>LC50 / 96 h / Pimephales promelas (fathead minnow): 1,500mg/l</w:t>
              <w:br/>
              <w:t>Other:</w:t>
              <w:br/>
              <w:t>EC50 / 72 h / Algae: ＞500mg/l</w:t>
              <w:br/>
              <w:t>EC50 / 48 h / Daphnia magna: ＞500mg/l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12.2</w:t>
              <w:tab/>
            </w:r>
            <w:r>
              <w:rPr>
                <w:rFonts w:ascii="Arial" w:hAnsi="Arial" w:eastAsia="Arial" w:cs="Arial"/>
                <w:b/>
                <w:sz w:val="19"/>
                <w:szCs w:val="19"/>
              </w:rPr>
              <w:t xml:space="preserve">Persistence and 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No data available.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12.3</w:t>
              <w:tab/>
            </w:r>
            <w:r>
              <w:rPr>
                <w:rFonts w:ascii="Arial" w:hAnsi="Arial" w:eastAsia="Arial" w:cs="Arial"/>
                <w:b/>
                <w:sz w:val="19"/>
                <w:szCs w:val="19"/>
              </w:rPr>
              <w:t xml:space="preserve">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lang w:val="en-US" w:eastAsia="zh-CN"/>
                <w:rFonts w:ascii="Arial" w:hAnsi="Arial" w:eastAsia="Arial" w:cs="Arial"/>
                <w:sz w:val="19"/>
                <w:szCs w:val="19"/>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rPr>
                <w:b/>
                <w:sz w:val="24"/>
              </w:rPr>
            </w:pPr>
            <w:r>
              <w:rPr>
                <w:rFonts w:ascii="Arial" w:hAnsi="Arial" w:eastAsia="Arial" w:cs="Arial"/>
                <w:b/>
                <w:sz w:val="22"/>
                <w:szCs w:val="22"/>
              </w:rPr>
              <w:t xml:space="preserve">13.Handling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Dispose of in accordance with applicable national standards and national or local regulations.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kinsoku/>
              <w:wordWrap/>
              <w:overflowPunct/>
              <w:topLinePunct w:val="0"/>
              <w:autoSpaceDE/>
              <w:autoSpaceDN/>
              <w:bidi w:val="0"/>
              <w:adjustRightInd/>
              <w:snapToGrid/>
              <w:spacing w:line="300" w:lineRule="auto"/>
              <w:textAlignment w:val="auto"/>
              <w:rPr>
                <w:sz w:val="24"/>
              </w:rPr>
              <w:jc w:val="center"/>
            </w:pPr>
            <w:r>
              <w:rPr>
                <w:rFonts w:ascii="Arial" w:hAnsi="Arial" w:eastAsia="Arial" w:cs="Arial"/>
                <w:b/>
                <w:sz w:val="19"/>
                <w:szCs w:val="19"/>
              </w:rPr>
              <w:t xml:space="preserve">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rPr>
                <w:b/>
                <w:sz w:val="24"/>
              </w:rPr>
            </w:pPr>
            <w:r>
              <w:rPr>
                <w:rFonts w:ascii="Arial" w:hAnsi="Arial" w:eastAsia="Arial" w:cs="Arial"/>
                <w:b/>
                <w:sz w:val="22"/>
                <w:szCs w:val="22"/>
              </w:rPr>
              <w:t xml:space="preserve">14.Transportation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14.1</w:t>
              <w:tab/>
            </w:r>
            <w:r>
              <w:rPr>
                <w:rFonts w:ascii="Arial" w:hAnsi="Arial" w:eastAsia="Arial" w:cs="Arial"/>
                <w:b/>
                <w:sz w:val="19"/>
                <w:szCs w:val="19"/>
              </w:rPr>
              <w:t xml:space="preserve">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14.2</w:t>
              <w:tab/>
            </w:r>
            <w:r>
              <w:rPr>
                <w:rFonts w:ascii="Arial" w:hAnsi="Arial" w:eastAsia="Arial" w:cs="Arial"/>
                <w:b/>
                <w:sz w:val="19"/>
                <w:szCs w:val="19"/>
              </w:rPr>
              <w:t xml:space="preserve">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14.3</w:t>
              <w:tab/>
            </w:r>
            <w:r>
              <w:rPr>
                <w:rFonts w:ascii="Arial" w:hAnsi="Arial" w:eastAsia="Arial" w:cs="Arial"/>
                <w:b/>
                <w:sz w:val="19"/>
                <w:szCs w:val="19"/>
              </w:rPr>
              <w:t xml:space="preserve">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14.4</w:t>
              <w:tab/>
            </w:r>
            <w:r>
              <w:rPr>
                <w:rFonts w:ascii="Arial" w:hAnsi="Arial" w:eastAsia="Arial" w:cs="Arial"/>
                <w:b/>
                <w:sz w:val="19"/>
                <w:szCs w:val="19"/>
              </w:rPr>
              <w:t xml:space="preserve">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rPr>
                <w:b/>
                <w:sz w:val="24"/>
              </w:rPr>
            </w:pPr>
            <w:r>
              <w:rPr>
                <w:rFonts w:ascii="Arial" w:hAnsi="Arial" w:eastAsia="Arial" w:cs="Arial"/>
                <w:b/>
                <w:sz w:val="22"/>
                <w:szCs w:val="22"/>
              </w:rPr>
              <w:t xml:space="preserve">15.Regulatory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rPr>
                <w:rFonts w:hint="default" w:ascii="Times New Roman" w:hAnsi="Times New Roman" w:cs="Times New Roman"/>
                <w:bCs/>
                <w:kern w:val="0"/>
                <w:sz w:val="24"/>
                <w:szCs w:val="24"/>
              </w:rPr>
              <w:jc w:val="left"/>
            </w:pPr>
            <w:bookmarkStart w:id="0" w:name="_GoBack" w:colFirst="0" w:colLast="0"/>
            <w:r>
              <w:rPr>
                <w:rFonts w:ascii="Arial" w:hAnsi="Arial" w:eastAsia="Arial" w:cs="Arial"/>
                <w:sz w:val="19"/>
                <w:szCs w:val="19"/>
              </w:rPr>
              <w:t xml:space="preserve">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Regulations on the Safety Management of Hazardous Chemicals, State Council Decree No. 591</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30000.2-29 Rules for classification and labelling of chemicals</w:t>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rPr>
                <w:b/>
                <w:sz w:val="24"/>
              </w:rPr>
            </w:pPr>
            <w:r>
              <w:rPr>
                <w:rFonts w:ascii="Arial" w:hAnsi="Arial" w:eastAsia="Arial" w:cs="Arial"/>
                <w:b/>
                <w:sz w:val="22"/>
                <w:szCs w:val="22"/>
              </w:rPr>
              <w:t xml:space="preserve">16.Other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textAlignment w:val="auto"/>
              <w:rPr>
                <w:rFonts w:cs="Arial"/>
                <w:bCs/>
                <w:kern w:val="0"/>
                <w:sz w:val="24"/>
              </w:rPr>
              <w:jc w:val="left"/>
            </w:pPr>
            <w:r>
              <w:rPr>
                <w:rFonts w:ascii="Arial" w:hAnsi="Arial" w:eastAsia="Arial" w:cs="Arial"/>
                <w:sz w:val="19"/>
                <w:szCs w:val="19"/>
              </w:rPr>
              <w:t xml:space="preserve">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jc w:val="left"/>
            <w:jc w:val="left"/>
          </w:pPr>
          <w:r>
            <w:rPr>
              <w:rFonts w:hint="eastAsia"/>
              <w:kern w:val="0"/>
              <w:sz w:val="21"/>
              <w:szCs w:val="21"/>
            </w:rPr>
            <w:t>Yingde Guocai New Material Co., Ltd. PU-202A-MSDS</w:t>
          </w:r>
        </w:p>
      </w:tc>
      <w:tc>
        <w:tcPr>
          <w:tcW w:w="4984" w:type="dxa"/>
        </w:tcPr>
        <w:p w14:paraId="32B3FF4C">
          <w:pPr>
            <w:ind w:firstLine="8730" w:firstLineChars="4850"/>
            <w:jc w:val="right"/>
            <w:rPr>
              <w:kern w:val="0"/>
              <w:sz w:val="20"/>
            </w:rPr>
            <w:jc w:val="right"/>
            <w:jc w:val="right"/>
          </w:pPr>
          <w:r>
            <w:rPr>
              <w:rFonts w:ascii="Arial" w:eastAsia="楷体_GB2312"/>
              <w:color w:val="7F7F7F"/>
              <w:kern w:val="0"/>
              <w:sz w:val="18"/>
              <w:szCs w:val="18"/>
            </w:rPr>
            <w:t>Revision Date: 2026/10/29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PU-202A</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21" Type="http://schemas.openxmlformats.org/officeDocument/2006/relationships/image" Target="media/image_ghs_1793257967958_0.png"/><Relationship Id="rId32" Type="http://schemas.openxmlformats.org/officeDocument/2006/relationships/image" Target="media/image_ghs_1793257967959_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