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考虑预测误差的微网日前购电与储能调度"/>
    <w:p>
      <w:pPr>
        <w:pStyle w:val="Title"/>
        <w:keepNext/>
        <w:widowControl/>
        <w:spacing w:before="0" w:after="200" w:line="288" w:lineRule="auto"/>
        <w:ind w:firstLine="0"/>
        <w:jc w:val="center"/>
      </w:pPr>
      <w:r>
        <w:rPr>
          <w:rFonts w:hint="eastAsia"/>
          <w:color w:val="000000"/>
        </w:rPr>
        <w:t xml:space="preserve">考虑预测误差的微网日前购电与储能调度</w:t>
      </w:r>
    </w:p>
    <w:bookmarkStart w:id="9" w:name="摘-要"/>
    <w:p>
      <w:pPr>
        <w:pStyle w:val="Heading1"/>
        <w:keepNext/>
        <w:widowControl/>
        <w:spacing w:before="0" w:after="160" w:line="288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针对光伏发电、小区负载与分时电价共同影响的微网购电问题，建立统一的母线能量平衡和储能状态模型，分别研究已知曲线下的单日最优调度，以及供需未知时的日前计划与实时补购。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针对第一问，在充电、放电效率各为</w:t>
      </w:r>
      <w:r>
        <w:rPr>
          <w:color w:val="000000"/>
        </w:rPr>
        <w:t xml:space="preserve"> 90% </w:t>
      </w:r>
      <w:r>
        <w:rPr>
          <w:rFonts w:hint="eastAsia"/>
          <w:color w:val="000000"/>
        </w:rPr>
        <w:t xml:space="preserve">的解释下，将十分钟购电、充放电和弃用电量作为连续变量，以二元变量保证充放电互斥，并约束日初与日末储电量相同。采用混合整数线性规划求得全天计划购电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kWh、购电费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元，较无储能基线降低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26.90%。整数解与线性松弛下界一致，支持当前模型下数值精度内的最优性。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针对第二问，将同期预测和岭回归与日前调度连接，以历史净负载预测误差分位数构造余量。通过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月验证选择岭回归与</w:t>
      </w:r>
      <w:r>
        <w:rPr>
          <w:color w:val="000000"/>
        </w:rPr>
        <w:t xml:space="preserve"> 70% </w:t>
      </w:r>
      <w:r>
        <w:rPr>
          <w:rFonts w:hint="eastAsia"/>
          <w:color w:val="000000"/>
        </w:rPr>
        <w:t xml:space="preserve">余量，在</w:t>
      </w:r>
      <w:r>
        <w:rPr>
          <w:color w:val="000000"/>
        </w:rPr>
        <w:t xml:space="preserve"> 2—12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天进行顺序回测，普通与紧急购电总费用为</w:t>
      </w:r>
      <w:r>
        <w:rPr>
          <w:color w:val="000000"/>
        </w:rPr>
        <w:t xml:space="preserve"> 1,413.26 </w:t>
      </w:r>
      <w:r>
        <w:rPr>
          <w:rFonts w:hint="eastAsia"/>
          <w:color w:val="000000"/>
        </w:rPr>
        <w:t xml:space="preserve">万元，比同期无余量低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26.50%，比岭回归无余量低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10.01%。验证期</w:t>
      </w:r>
      <w:r>
        <w:rPr>
          <w:color w:val="000000"/>
        </w:rPr>
        <w:t xml:space="preserve"> 90% </w:t>
      </w:r>
      <w:r>
        <w:rPr>
          <w:rFonts w:hint="eastAsia"/>
          <w:color w:val="000000"/>
        </w:rPr>
        <w:t xml:space="preserve">余量虽消除紧急购电，总费用反而更高，说明可靠性改善必须与计划支出共同评价。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模型检查覆盖能量平衡、SOC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连续性、功率和容量边界、充放电互斥及费用复算。第二问结论限于所检验策略，尚未证明随机控制意义下的全局最优；短验证期、效率与时间标签解释仍是需要进一步核对的因素。</w:t>
      </w:r>
    </w:p>
    <w:p>
      <w:pPr>
        <w:pStyle w:val="BodyText"/>
        <w:widowControl/>
        <w:spacing w:before="120" w:after="100" w:line="288" w:lineRule="auto"/>
        <w:ind w:firstLine="0"/>
        <w:jc w:val="both"/>
      </w:pPr>
      <w:r>
        <w:rPr>
          <w:rFonts w:hint="eastAsia"/>
          <w:color w:val="000000"/>
        </w:rPr>
        <w:t xml:space="preserve">关键词：微网调度；混合整数线性规划；岭回归；预测误差；日前购电</w:t>
      </w:r>
    </w:p>
    <w:bookmarkEnd w:id="9"/>
    <w:bookmarkStart w:id="10" w:name="一-问题重述"/>
    <w:p>
      <w:pPr>
        <w:pStyle w:val="Heading1"/>
        <w:keepNext/>
        <w:pageBreakBefore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题面研究小区光伏、负载、储能与外部电网之间的电力调控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[1]。储能可以在低价或光伏富余时吸收电量，在高价或供电不足时释放电量；调度既要满足负载，也要尽可能节省购电费用。本文只处理前两问。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第一问给定每天重复的电价、负载和单日光伏预测，要求每天</w:t>
      </w:r>
      <w:r>
        <w:rPr>
          <w:color w:val="000000"/>
        </w:rPr>
        <w:t xml:space="preserve"> 00:00 </w:t>
      </w:r>
      <w:r>
        <w:rPr>
          <w:rFonts w:hint="eastAsia"/>
          <w:color w:val="000000"/>
        </w:rPr>
        <w:t xml:space="preserve">制定全天购电计划，且日初日末储电量相同。需报告指定十分钟时段的购电量、全天总量和费用，以及四小时充放电汇总。第二问中负载与光伏逐日变化，正常购电仍按计划量收费，供电缺口通过五倍交易电价的紧急购电补足，需输出</w:t>
      </w:r>
      <w:r>
        <w:rPr>
          <w:color w:val="000000"/>
        </w:rPr>
        <w:t xml:space="preserve"> 2—12 </w:t>
      </w:r>
      <w:r>
        <w:rPr>
          <w:rFonts w:hint="eastAsia"/>
          <w:color w:val="000000"/>
        </w:rPr>
        <w:t xml:space="preserve">月每日完整策略及四个指定日期的结果。</w:t>
      </w:r>
    </w:p>
    <w:bookmarkEnd w:id="10"/>
    <w:bookmarkStart w:id="11" w:name="二-问题分析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第一问是已知输入曲线下的跨时段资源分配。线性回归不负责决定何时充电；购电、电池和负载之间的能量约束才是主模型。加入二元变量后可直接保证同一时段不同时充放电，避免事后修复改变费用与可行性。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二问的预测误差具有不对称经济后果：低估净负载可能触发五倍电价补购，高估则可能产生仍需付费的富余计划电量。因此先预测负载与光伏，再构造风险余量并求购电计划，最后用实际观测执行与计费。预测误差用于评价预测器，实际购电总费用用于评价完整策略，两者不能互相替代。</w:t>
      </w:r>
    </w:p>
    <w:bookmarkEnd w:id="11"/>
    <w:bookmarkStart w:id="14" w:name="三-模型假设与数据处理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12" w:name="参数及工作假设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参数及工作假设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统一参数见表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1。功率上限按微网母线侧定义，所有决策电量使用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kWh。题面“充放电效率为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90%”可能存在单程与往返解释差异，主实验采用两侧各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90%，并对另一解释单独进行敏感性分析。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（1）将每个功率值解释为以时间标签为右端点的十分钟区间平均值。由此原始</w:t>
      </w:r>
      <w:r>
        <w:rPr>
          <w:color w:val="000000"/>
        </w:rPr>
        <w:t xml:space="preserve"> 00:10 </w:t>
      </w:r>
      <w:r>
        <w:rPr>
          <w:rFonts w:hint="eastAsia"/>
          <w:color w:val="000000"/>
        </w:rPr>
        <w:t xml:space="preserve">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00:00—00:10，原始</w:t>
      </w:r>
      <w:r>
        <w:rPr>
          <w:color w:val="000000"/>
        </w:rPr>
        <w:t xml:space="preserve"> 00:00+1 </w:t>
      </w:r>
      <w:r>
        <w:rPr>
          <w:rFonts w:hint="eastAsia"/>
          <w:color w:val="000000"/>
        </w:rPr>
        <w:t xml:space="preserve">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23:50—24:00。结果副本按该时间轴统一标签；该解释并非题面明确说明的采样定义。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（2）不设置题面未给出的售电收入与折旧价格，允许不能使用的电量被弃用。普通购电按计划量结算，富余计划量不退款。电池磨损成本没有纳入当前目标。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（3）实际执行近似每十分钟内功率恒定、当前供需可即时观测并平衡。该近似只服务于区间内的充放电和紧急购电，不允许日前读取当天真实曲线。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（4）第二问实际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连续跨日。日前名义轨迹的日末下限取</w:t>
      </w:r>
      <w:r>
        <w:rPr>
          <w:color w:val="000000"/>
        </w:rPr>
        <w:t xml:space="preserve"> 6000 </w:t>
      </w:r>
      <w:r>
        <w:rPr>
          <w:rFonts w:hint="eastAsia"/>
          <w:color w:val="000000"/>
        </w:rPr>
        <w:t xml:space="preserve">kWh，作为防止计划耗空电池的策略设置；不强制实际日末回到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6000，也不按天重置电池。</w:t>
      </w:r>
    </w:p>
    <w:bookmarkEnd w:id="12"/>
    <w:bookmarkStart w:id="13" w:name="输入审计与时间边界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输入审计与时间边界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有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 xml:space="preserve">个时段，附件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的负载与光伏各有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365×144＝52,560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个观测。读取后检查到完整的</w:t>
      </w:r>
      <w:r>
        <w:rPr>
          <w:color w:val="000000"/>
        </w:rPr>
        <w:t xml:space="preserve"> 2025 </w:t>
      </w:r>
      <w:r>
        <w:rPr>
          <w:rFonts w:hint="eastAsia"/>
          <w:color w:val="000000"/>
        </w:rPr>
        <w:t xml:space="preserve">年日期、相同的负载和光伏时间轴，未发现缺失、负数或重复日期，未无依据删除峰值。附件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混合存储了时间类型与字符串，统一转换分钟后核对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10、20、…、1440。电量按下式换算：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独立重读原始工作簿确认：附件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的时间列含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个时间类型单元格和</w:t>
      </w:r>
      <w:r>
        <w:rPr>
          <w:color w:val="000000"/>
        </w:rPr>
        <w:t xml:space="preserve"> 84 </w:t>
      </w:r>
      <w:r>
        <w:rPr>
          <w:rFonts w:hint="eastAsia"/>
          <w:color w:val="000000"/>
        </w:rPr>
        <w:t xml:space="preserve">个字符串，均已规范化；附件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的两类序列各</w:t>
      </w:r>
      <w:r>
        <w:rPr>
          <w:color w:val="000000"/>
        </w:rPr>
        <w:t xml:space="preserve"> 52,560 </w:t>
      </w:r>
      <w:r>
        <w:rPr>
          <w:rFonts w:hint="eastAsia"/>
          <w:color w:val="000000"/>
        </w:rPr>
        <w:t xml:space="preserve">项无缺失、非有限值或负数，且无重复日期或完全重复的日曲线。全局四分位距规则未标记超界点，但这一检查不能证明不存在局部测量误差。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因此，本次预处理没有执行填补、删点、缩尾或平滑，只执行时间格式与单位规范化。光伏有</w:t>
      </w:r>
      <w:r>
        <w:rPr>
          <w:color w:val="000000"/>
        </w:rPr>
        <w:t xml:space="preserve"> 23,540 </w:t>
      </w:r>
      <w:r>
        <w:rPr>
          <w:rFonts w:hint="eastAsia"/>
          <w:color w:val="000000"/>
        </w:rPr>
        <w:t xml:space="preserve">个零值，其本身不是缺失标记，保留在原始记录与回测中。预测值的非负截断属于模型输出规则，训练集标准化属于特征处理，均不等同于修改实际观测。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实际数据的测量不确定性没有单独给出，因此不添加虚构置信区间。全文图线来自原始输入或保存的实际计算结果，时段内不做平滑插值。</w:t>
      </w:r>
    </w:p>
    <w:bookmarkEnd w:id="13"/>
    <w:bookmarkEnd w:id="14"/>
    <w:bookmarkStart w:id="15" w:name="四-符号说明"/>
    <w:p>
      <w:pPr>
        <w:pStyle w:val="Heading1"/>
        <w:keepNext/>
        <w:pageBreakBefore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下文沿用表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的符号。单日模型省略日期下标，日内区间用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1—144，状态包含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个边界点；跨日计算另带日期下标。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日期下标</w:t>
      </w:r>
      <w:r>
        <w:rPr>
          <w:color w:val="000000"/>
        </w:rPr>
        <w:t xml:space="preserve"> d </w:t>
      </w:r>
      <w:r>
        <w:rPr>
          <w:rFonts w:hint="eastAsia"/>
          <w:color w:val="000000"/>
        </w:rPr>
        <w:t xml:space="preserve">与放电变量的字母</w:t>
      </w:r>
      <w:r>
        <w:rPr>
          <w:color w:val="000000"/>
        </w:rPr>
        <w:t xml:space="preserve"> d </w:t>
      </w:r>
      <w:r>
        <w:rPr>
          <w:rFonts w:hint="eastAsia"/>
          <w:color w:val="000000"/>
        </w:rPr>
        <w:t xml:space="preserve">通过下标位置区分；为简化实现，程序字段分别使用</w:t>
      </w:r>
      <w:r>
        <w:rPr>
          <w:color w:val="000000"/>
        </w:rPr>
        <w:t xml:space="preserve"> date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discharge_kwh。</w:t>
      </w:r>
    </w:p>
    <w:bookmarkEnd w:id="15"/>
    <w:bookmarkStart w:id="28" w:name="五-第一问的模型建立与求解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第一问的模型建立与求解</w:t>
      </w:r>
    </w:p>
    <w:bookmarkStart w:id="19" w:name="供需结构与决策目标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供需结构与决策目标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已给曲线及固定电价如图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所示。光伏集中在白天，而负载覆盖全天，储能调度应同时响应供需差额和分时价格。电价使用独立面板，避免功率与价格共用坐标造成误读。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3392639"/>
            <wp:effectExtent b="0" l="0" r="0" t="0"/>
            <wp:docPr descr="第一问供需曲线与分时电价" title="" id="17" name="Picture"/>
            <a:graphic>
              <a:graphicData uri="http://schemas.openxmlformats.org/drawingml/2006/picture">
                <pic:pic>
                  <pic:nvPicPr>
                    <pic:cNvPr descr="../figures/q12_revision/fig01_inpu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39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第一问供需曲线与分时电价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图中每一阶梯对应一个十分钟平均功率或电价，光伏阴影为功率曲线下区域，不作为置信带。</w:t>
      </w:r>
    </w:p>
    <w:p>
      <w:pPr>
        <w:pStyle w:val="BodyText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目标是最小化全天计划购电费：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以母线侧收支写能量守恒，将允许的富余供电显式记为未利用电量：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充电损耗发生在进入储能时，放电损耗发生在从储能输出至母线时，因而状态方程为：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SOC </w:t>
      </w:r>
      <w:r>
        <w:rPr>
          <w:rFonts w:hint="eastAsia"/>
          <w:color w:val="000000"/>
        </w:rPr>
        <w:t xml:space="preserve">上下界施加于全部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个状态点，状态递推与其他时段约束对应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t＝1，…，144。令每时段最大母线侧充放电量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M＝5000/6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kWh，用二元变量直接限制互斥：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第一问满足以下初始和终端条件，避免利用电池初始存量净放电造成虚假节省：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将上述关系集中写成一般日模型，决策变量为购电、充放电、未利用电量、储电量和状态变量。给定不同供需输入与初末状态条件时，可复用以下结构：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上述模型有</w:t>
      </w:r>
      <w:r>
        <w:rPr>
          <w:color w:val="000000"/>
        </w:rPr>
        <w:t xml:space="preserve"> 865 </w:t>
      </w:r>
      <w:r>
        <w:rPr>
          <w:rFonts w:hint="eastAsia"/>
          <w:color w:val="000000"/>
        </w:rPr>
        <w:t xml:space="preserve">个变量，其中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 xml:space="preserve">个为二元变量。以</w:t>
      </w:r>
      <w:r>
        <w:rPr>
          <w:color w:val="000000"/>
        </w:rPr>
        <w:t xml:space="preserve"> SciPy 1.17.1 </w:t>
      </w:r>
      <w:r>
        <w:rPr>
          <w:rFonts w:hint="eastAsia"/>
          <w:color w:val="000000"/>
        </w:rPr>
        <w:t xml:space="preserve">的</w:t>
      </w:r>
      <w:r>
        <w:rPr>
          <w:color w:val="000000"/>
        </w:rPr>
        <w:t xml:space="preserve"> milp </w:t>
      </w:r>
      <w:r>
        <w:rPr>
          <w:rFonts w:hint="eastAsia"/>
          <w:color w:val="000000"/>
        </w:rPr>
        <w:t xml:space="preserve">接口调用</w:t>
      </w:r>
      <w:r>
        <w:rPr>
          <w:color w:val="000000"/>
        </w:rPr>
        <w:t xml:space="preserve"> HiGHS </w:t>
      </w:r>
      <w:r>
        <w:rPr>
          <w:rFonts w:hint="eastAsia"/>
          <w:color w:val="000000"/>
        </w:rPr>
        <w:t xml:space="preserve">[2]，相对间隙目标设为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10⁻⁷，每日求解时间上限为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秒；超时或无可行解时应停止并报告，而非将空结果视为成功。</w:t>
      </w:r>
    </w:p>
    <w:bookmarkEnd w:id="19"/>
    <w:bookmarkStart w:id="23" w:name="调度结果与指定时段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调度结果与指定时段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计算得到全天购电量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kWh、费用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元。购电与储能轨迹见图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2，指定时段购电和四小时充放电分别见表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4。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4776479"/>
            <wp:effectExtent b="0" l="0" r="0" t="0"/>
            <wp:docPr descr="第一问电价驱动的购电与储能运行" title="" id="21" name="Picture"/>
            <a:graphic>
              <a:graphicData uri="http://schemas.openxmlformats.org/drawingml/2006/picture">
                <pic:pic>
                  <pic:nvPicPr>
                    <pic:cNvPr descr="../figures/q12_revision/fig02_dispatc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776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第一问电价驱动的购电与储能运行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自上而下为电价、购电与正净负载、充放电、SOC。所有阶梯保留十分钟决策，不作平滑。购电超过正净负载的部分用于充电；SOC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阴影为允许范围。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表中电量单位为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kWh，全天购电费单位为元。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第一问四小时充放电及日初日末储电量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表内所有电量单位为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kWh，充放电量采用母线侧口径。四小时内可先充后放，汇总行两者均正不违反十分钟互斥。图中尖峰主要对应集中充电：22:00—22:10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负载约</w:t>
      </w:r>
      <w:r>
        <w:rPr>
          <w:color w:val="000000"/>
        </w:rPr>
        <w:t xml:space="preserve"> 3309.39 </w:t>
      </w:r>
      <w:r>
        <w:rPr>
          <w:rFonts w:hint="eastAsia"/>
          <w:color w:val="000000"/>
        </w:rPr>
        <w:t xml:space="preserve">kW、光伏为零，充电</w:t>
      </w:r>
      <w:r>
        <w:rPr>
          <w:color w:val="000000"/>
        </w:rPr>
        <w:t xml:space="preserve"> 5000 </w:t>
      </w:r>
      <w:r>
        <w:rPr>
          <w:rFonts w:hint="eastAsia"/>
          <w:color w:val="000000"/>
        </w:rPr>
        <w:t xml:space="preserve">kW，故购电约</w:t>
      </w:r>
      <w:r>
        <w:rPr>
          <w:color w:val="000000"/>
        </w:rPr>
        <w:t xml:space="preserve"> 8309.39 </w:t>
      </w:r>
      <w:r>
        <w:rPr>
          <w:rFonts w:hint="eastAsia"/>
          <w:color w:val="000000"/>
        </w:rPr>
        <w:t xml:space="preserve">kW。相邻时段电价为</w:t>
      </w:r>
      <w:r>
        <w:rPr>
          <w:color w:val="000000"/>
        </w:rPr>
        <w:t xml:space="preserve"> 0.3859、0.4368 </w:t>
      </w:r>
      <w:r>
        <w:rPr>
          <w:rFonts w:hint="eastAsia"/>
          <w:color w:val="000000"/>
        </w:rPr>
        <w:t xml:space="preserve">元/kWh，模型分别安排满功率充电与不充电。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当前目标只计购电费，未计充电切换成本或功率爬坡限制，因此低价区间内也可能出现零散充电。这是模型边界，不能由图形尖峰直接判为原始数据异常。固定放电与未利用电量、保持费用不变的充电变差最小化诊断未获得实质不同的轨迹，不能据此声称存在平滑且同成本的替代方案。若需要更平稳的实际操作，应另加爬坡约束或费用容差内的次级目标，重新计算并比较成本。</w:t>
      </w:r>
    </w:p>
    <w:bookmarkEnd w:id="23"/>
    <w:bookmarkStart w:id="27" w:name="最优性检验与效率解释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5.3 </w:t>
      </w:r>
      <w:r>
        <w:rPr>
          <w:rFonts w:hint="eastAsia"/>
          <w:color w:val="000000"/>
        </w:rPr>
        <w:t xml:space="preserve">最优性检验与效率解释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删除整数限制得到线性松弛下界</w:t>
      </w:r>
      <w:r>
        <w:rPr>
          <w:color w:val="000000"/>
        </w:rPr>
        <w:t xml:space="preserve"> 35,126.94858929 </w:t>
      </w:r>
      <w:r>
        <w:rPr>
          <w:rFonts w:hint="eastAsia"/>
          <w:color w:val="000000"/>
        </w:rPr>
        <w:t xml:space="preserve">元，与整数解目标之差为</w:t>
      </w:r>
      <w:r>
        <w:rPr>
          <w:color w:val="000000"/>
        </w:rPr>
        <w:t xml:space="preserve"> 0.00000000 </w:t>
      </w:r>
      <w:r>
        <w:rPr>
          <w:rFonts w:hint="eastAsia"/>
          <w:color w:val="000000"/>
        </w:rPr>
        <w:t xml:space="preserve">元，求解器相对间隙为零。在本题输入与约束口径下，这支持数值精度内的全局最优性。能量平衡最大残差约</w:t>
      </w:r>
      <w:r>
        <w:rPr>
          <w:color w:val="000000"/>
        </w:rPr>
        <w:t xml:space="preserve"> 2.27e-13 </w:t>
      </w:r>
      <w:r>
        <w:rPr>
          <w:rFonts w:hint="eastAsia"/>
          <w:color w:val="000000"/>
        </w:rPr>
        <w:t xml:space="preserve">kWh，SOC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递推与容量、功率边界均通过复核。</w:t>
      </w:r>
    </w:p>
    <w:p>
      <w:pPr>
        <w:pStyle w:val="BodyText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以每时段正净负载直接购电构造无储能基线：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该基线费用为</w:t>
      </w:r>
      <w:r>
        <w:rPr>
          <w:color w:val="000000"/>
        </w:rPr>
        <w:t xml:space="preserve"> 48,052.05 </w:t>
      </w:r>
      <w:r>
        <w:rPr>
          <w:rFonts w:hint="eastAsia"/>
          <w:color w:val="000000"/>
        </w:rPr>
        <w:t xml:space="preserve">元，主模型节省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26.90%。效率解释的对照见图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3：若总往返效率为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0.9，并对称取两侧效率为平方根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0.9，费用为</w:t>
      </w:r>
      <w:r>
        <w:rPr>
          <w:color w:val="000000"/>
        </w:rPr>
        <w:t xml:space="preserve"> 33,801.50 </w:t>
      </w:r>
      <w:r>
        <w:rPr>
          <w:rFonts w:hint="eastAsia"/>
          <w:color w:val="000000"/>
        </w:rPr>
        <w:t xml:space="preserve">元。该试验只改变效率，不能与主实验混为同一组结果。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2232000"/>
            <wp:effectExtent b="0" l="0" r="0" t="0"/>
            <wp:docPr descr="第一问储能收益与效率解释对照" title="" id="25" name="Picture"/>
            <a:graphic>
              <a:graphicData uri="http://schemas.openxmlformats.org/drawingml/2006/picture">
                <pic:pic>
                  <pic:nvPicPr>
                    <pic:cNvPr descr="../figures/q12_revision/fig03_efficien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第一问储能收益与效率解释对照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所有柱形从零开始。前两项比较储能作用，后两项比较效率解释；主文及</w:t>
      </w:r>
      <w:r>
        <w:rPr>
          <w:color w:val="000000"/>
        </w:rPr>
        <w:t xml:space="preserve"> Excel </w:t>
      </w:r>
      <w:r>
        <w:rPr>
          <w:rFonts w:hint="eastAsia"/>
          <w:color w:val="000000"/>
        </w:rPr>
        <w:t xml:space="preserve">均对应“两侧效率各</w:t>
      </w:r>
      <w:r>
        <w:rPr>
          <w:color w:val="000000"/>
        </w:rPr>
        <w:t xml:space="preserve"> 90%”。</w:t>
      </w:r>
    </w:p>
    <w:bookmarkEnd w:id="27"/>
    <w:bookmarkEnd w:id="28"/>
    <w:bookmarkStart w:id="33" w:name="六-第二问的预测与日前策略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第二问的预测与日前策略</w:t>
      </w:r>
    </w:p>
    <w:bookmarkStart w:id="29" w:name="训练与评价的时间顺序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训练与评价的时间顺序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22—31 </w:t>
      </w:r>
      <w:r>
        <w:rPr>
          <w:rFonts w:hint="eastAsia"/>
          <w:color w:val="000000"/>
        </w:rPr>
        <w:t xml:space="preserve">日作为验证窗，选择岭回归惩罚与风险余量。2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日起固定这些选择规则，执行至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日。模型每七天更新一次，最多使用最近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个已结束日期；评价过程中已观察到的数据可以进入后续更新，尚未发生的数据不进入当前决策。这是顺序样本外回测，而不是把全年随机拆分。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一月份共同热身从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日的</w:t>
      </w:r>
      <w:r>
        <w:rPr>
          <w:color w:val="000000"/>
        </w:rPr>
        <w:t xml:space="preserve"> 6000 kWh </w:t>
      </w:r>
      <w:r>
        <w:rPr>
          <w:rFonts w:hint="eastAsia"/>
          <w:color w:val="000000"/>
        </w:rPr>
        <w:t xml:space="preserve">开始；首日无历史时用附件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作为冷启动参考，随后不足七天用近三日均值，积累七天后用日／周同期。验证期初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为</w:t>
      </w:r>
      <w:r>
        <w:rPr>
          <w:color w:val="000000"/>
        </w:rPr>
        <w:t xml:space="preserve"> 6244.256891 </w:t>
      </w:r>
      <w:r>
        <w:rPr>
          <w:rFonts w:hint="eastAsia"/>
          <w:color w:val="000000"/>
        </w:rPr>
        <w:t xml:space="preserve">kWh，评价期初为</w:t>
      </w:r>
      <w:r>
        <w:rPr>
          <w:color w:val="000000"/>
        </w:rPr>
        <w:t xml:space="preserve"> 9902.811288 </w:t>
      </w:r>
      <w:r>
        <w:rPr>
          <w:rFonts w:hint="eastAsia"/>
          <w:color w:val="000000"/>
        </w:rPr>
        <w:t xml:space="preserve">kWh，各候选策略都从同一状态出发。冷启动的附件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仅作为明确的初始化假设，不当作全年可提前获得的预报。</w:t>
      </w:r>
    </w:p>
    <w:bookmarkEnd w:id="29"/>
    <w:bookmarkStart w:id="30" w:name="同期基线与岭回归预测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同期基线与岭回归预测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对负载或光伏电量序列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y，同期基线取昨日与上周同日相同时间槽的均值：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岭回归采用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color w:val="000000"/>
        </w:rPr>
        <w:t xml:space="preserve"> 1。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截距不惩罚，负载和光伏分别拟合。按验证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λ＝1、10、100，均选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1；实现采用</w:t>
      </w:r>
      <w:r>
        <w:rPr>
          <w:color w:val="000000"/>
        </w:rPr>
        <w:t xml:space="preserve"> NumPy </w:t>
      </w:r>
      <w:r>
        <w:rPr>
          <w:rFonts w:hint="eastAsia"/>
          <w:color w:val="000000"/>
        </w:rPr>
        <w:t xml:space="preserve">线性方程求解，与带截距岭目标一致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[3]。从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评价指标采用功率单位的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RMSE；不使用夜间分母为零的普通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MAPE：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bookmarkEnd w:id="30"/>
    <w:bookmarkStart w:id="31" w:name="净负载误差余量与名义优化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净负载误差余量与名义优化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定义历史净负载误差及只包含过去信息的误差样本池：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日期下标以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d＝1；排除首日冷启动误差，最多池化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个已结束日期和目标槽前后三槽。跨日边界不绕回，不足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天时仅取已有历史。余量规则为：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无余量候选直接设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r＝0，与“取零分位数”区分。对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70% </w:t>
      </w:r>
      <w:r>
        <w:rPr>
          <w:rFonts w:hint="eastAsia"/>
          <w:color w:val="000000"/>
        </w:rPr>
        <w:t xml:space="preserve">分位数不是“全天</w:t>
      </w:r>
      <w:r>
        <w:rPr>
          <w:color w:val="000000"/>
        </w:rPr>
        <w:t xml:space="preserve"> 70% </w:t>
      </w:r>
      <w:r>
        <w:rPr>
          <w:rFonts w:hint="eastAsia"/>
          <w:color w:val="000000"/>
        </w:rPr>
        <w:t xml:space="preserve">概率不缺电”的保证。名义优化只最小化计划费，五倍紧急购电的影响通过验证期对余量方案的筛选间接体现，不能据此称为已精确求解随机规划。</w:t>
      </w:r>
    </w:p>
    <w:bookmarkEnd w:id="31"/>
    <w:bookmarkStart w:id="32" w:name="实时执行与跨日状态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实时执行与跨日状态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当天普通购电计划固定后，定义当前供需剩余。对非负剩余尽量充电，对缺口尽量放电，并分别受可用空间、储电量和功率限制：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(16)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u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(17)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u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1200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(18)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(19)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以上规则使同一时段仅有充电或放电，SOC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仍按状态方程更新，实际日末传给次日：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(20)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所有供电缺口由紧急购电补足。全年评价费用定义为：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(21)</w:t>
      </w:r>
    </w:p>
    <w:p>
      <w:pPr>
        <w:pStyle w:val="FirstParagraph"/>
        <w:keepNext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将第二问策略概括如下。记</w:t>
      </w:r>
      <w:r>
        <w:rPr>
          <w:color w:val="000000"/>
        </w:rPr>
        <w:t xml:space="preserve"> Ω </w:t>
      </w:r>
      <w:r>
        <w:rPr>
          <w:rFonts w:hint="eastAsia"/>
          <w:color w:val="000000"/>
        </w:rPr>
        <w:t xml:space="preserve">为第一问中除初末等式之外的物理可行域，输入替换为带余量预测，日初状态取真实已知值；G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表示本节的贪心实时平衡规则：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88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…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arg</m:t>
                    </m:r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(</m:t>
                        </m:r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Ω</m:t>
                        </m:r>
                      </m:lim>
                    </m:limLow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p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p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p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bSup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1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2</m:t>
                        </m:r>
                      </m:sub>
                    </m:sSub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5</m:t>
                    </m:r>
                    <m:sSub>
                      <m:e>
                        <m:r>
                          <w:rPr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(22)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其中</w:t>
      </w:r>
      <w:r>
        <w:rPr>
          <w:color w:val="000000"/>
        </w:rPr>
        <w:t xml:space="preserve"> Ω </w:t>
      </w:r>
      <w:r>
        <w:rPr>
          <w:rFonts w:hint="eastAsia"/>
          <w:color w:val="000000"/>
        </w:rPr>
        <w:t xml:space="preserve">中每一时段的平衡使用上式名义输入；最后一行是实际策略评价费用，不是声称日前已知实际</w:t>
      </w:r>
      <w:r>
        <w:rPr>
          <w:color w:val="000000"/>
        </w:rPr>
        <w:t xml:space="preserve"> e </w:t>
      </w:r>
      <w:r>
        <w:rPr>
          <w:rFonts w:hint="eastAsia"/>
          <w:color w:val="000000"/>
        </w:rPr>
        <w:t xml:space="preserve">的优化目标。余量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仅由一月验证费用选择，之后冻结。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实际储能动作可以偏离名义动作，但普通计划购电不能按真实曲线事后改写。这一贪心控制具有可行性与因果性，不保证跨时段的实时经济最优。</w:t>
      </w:r>
    </w:p>
    <w:bookmarkEnd w:id="32"/>
    <w:bookmarkEnd w:id="33"/>
    <w:bookmarkStart w:id="57" w:name="七-第二问的结果与检验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第二问的结果与检验</w:t>
      </w:r>
    </w:p>
    <w:bookmarkStart w:id="37" w:name="验证期选择与紧急购电权衡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验证期选择与紧急购电权衡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验证结果见表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与图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4。各方案使用相同验证初始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SOC，但期末存量不同，因此除费用外同时列出期末储电量，不把存量差异隐藏在成本比较中。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2589119"/>
            <wp:effectExtent b="0" l="0" r="0" t="0"/>
            <wp:docPr descr="验证期风险余量与费用的权衡" title="" id="35" name="Picture"/>
            <a:graphic>
              <a:graphicData uri="http://schemas.openxmlformats.org/drawingml/2006/picture">
                <pic:pic>
                  <pic:nvPicPr>
                    <pic:cNvPr descr="../figures/q12_revision/fig04_valid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8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验证期风险余量与费用的权衡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横轴为四种候选方案，其中“无余量”是独立基线。折线只辅助比较候选值，不表示连续参数的精确响应。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岭回归</w:t>
      </w:r>
      <w:r>
        <w:rPr>
          <w:color w:val="000000"/>
        </w:rPr>
        <w:t xml:space="preserve"> 70% </w:t>
      </w:r>
      <w:r>
        <w:rPr>
          <w:rFonts w:hint="eastAsia"/>
          <w:color w:val="000000"/>
        </w:rPr>
        <w:t xml:space="preserve">余量的验证费为</w:t>
      </w:r>
      <w:r>
        <w:rPr>
          <w:color w:val="000000"/>
        </w:rPr>
        <w:t xml:space="preserve"> 509,757.47 </w:t>
      </w:r>
      <w:r>
        <w:rPr>
          <w:rFonts w:hint="eastAsia"/>
          <w:color w:val="000000"/>
        </w:rPr>
        <w:t xml:space="preserve">元，其中紧急费</w:t>
      </w:r>
      <w:r>
        <w:rPr>
          <w:color w:val="000000"/>
        </w:rPr>
        <w:t xml:space="preserve"> 8,765.44 </w:t>
      </w:r>
      <w:r>
        <w:rPr>
          <w:rFonts w:hint="eastAsia"/>
          <w:color w:val="000000"/>
        </w:rPr>
        <w:t xml:space="preserve">元；90%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余量紧急费为零，但总费升至</w:t>
      </w:r>
      <w:r>
        <w:rPr>
          <w:color w:val="000000"/>
        </w:rPr>
        <w:t xml:space="preserve"> 633,664.05 </w:t>
      </w:r>
      <w:r>
        <w:rPr>
          <w:rFonts w:hint="eastAsia"/>
          <w:color w:val="000000"/>
        </w:rPr>
        <w:t xml:space="preserve">元。两者期末储电量相差约</w:t>
      </w:r>
      <w:r>
        <w:rPr>
          <w:color w:val="000000"/>
        </w:rPr>
        <w:t xml:space="preserve"> 2416 </w:t>
      </w:r>
      <w:r>
        <w:rPr>
          <w:rFonts w:hint="eastAsia"/>
          <w:color w:val="000000"/>
        </w:rPr>
        <w:t xml:space="preserve">kWh，故不能完全忽略存量影响；当前目标仍按题面购电费用评价，不另添加缺乏依据的残值收入。</w:t>
      </w:r>
    </w:p>
    <w:bookmarkEnd w:id="37"/>
    <w:bookmarkStart w:id="41" w:name="全期预测误差与季节变化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全期预测误差与季节变化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按表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天共</w:t>
      </w:r>
      <w:r>
        <w:rPr>
          <w:color w:val="000000"/>
        </w:rPr>
        <w:t xml:space="preserve"> 48,096 </w:t>
      </w:r>
      <w:r>
        <w:rPr>
          <w:rFonts w:hint="eastAsia"/>
          <w:color w:val="000000"/>
        </w:rPr>
        <w:t xml:space="preserve">个十分钟区间的功率预测误差，岭回归在负载预测上的改善大于光伏。四个指定日期的曲线对照见图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5，整年误差仍以全期统计为准。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上述误差单位均为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kW，光伏指标包含夜间零值，不能直接等同于白天发电时段的预测精度。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5892479"/>
            <wp:effectExtent b="0" l="0" r="0" t="0"/>
            <wp:docPr descr="四个指定日期的负载与光伏日前预测" title="" id="39" name="Picture"/>
            <a:graphic>
              <a:graphicData uri="http://schemas.openxmlformats.org/drawingml/2006/picture">
                <pic:pic>
                  <pic:nvPicPr>
                    <pic:cNvPr descr="../figures/q12_revision/fig05_forecas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四个指定日期的负载与光伏日前预测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各列共用纵轴尺度，日期由题目指定。实线为实际观测，虚线为岭回归预测，不加入平滑后虚构的尖峰。</w:t>
      </w:r>
    </w:p>
    <w:bookmarkEnd w:id="41"/>
    <w:bookmarkStart w:id="51" w:name="全期购电费用与运行约束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全期购电费用与运行约束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策略费用分解如图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6，数值及期末存量见表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7。相同初始状态保证比较具有共同起点，实际状态在全年内自行连续演化。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2767679"/>
            <wp:effectExtent b="0" l="0" r="0" t="0"/>
            <wp:docPr descr="第二问四组策略的全期费用分解" title="" id="43" name="Picture"/>
            <a:graphic>
              <a:graphicData uri="http://schemas.openxmlformats.org/drawingml/2006/picture">
                <pic:pic>
                  <pic:nvPicPr>
                    <pic:cNvPr descr="../figures/q12_revision/fig06_co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6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第二问四组策略的全期费用分解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蓝色为普通计划购电费，深红为紧急购电费；条形右端标注两者合计。主策略由一月份验证选择。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主策略总费用</w:t>
      </w:r>
      <w:r>
        <w:rPr>
          <w:color w:val="000000"/>
        </w:rPr>
        <w:t xml:space="preserve"> 14,132,612.16 </w:t>
      </w:r>
      <w:r>
        <w:rPr>
          <w:rFonts w:hint="eastAsia"/>
          <w:color w:val="000000"/>
        </w:rPr>
        <w:t xml:space="preserve">元，较同期无余量低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26.50%，较岭回归无余量低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10.01%。后两组期末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均为</w:t>
      </w:r>
      <w:r>
        <w:rPr>
          <w:color w:val="000000"/>
        </w:rPr>
        <w:t xml:space="preserve"> 5,903.65 </w:t>
      </w:r>
      <w:r>
        <w:rPr>
          <w:rFonts w:hint="eastAsia"/>
          <w:color w:val="000000"/>
        </w:rPr>
        <w:t xml:space="preserve">kWh，因此此处的余量增益没有被不同期末存量混淆。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主策略紧急购电累计</w:t>
      </w:r>
      <w:r>
        <w:rPr>
          <w:color w:val="000000"/>
        </w:rPr>
        <w:t xml:space="preserve"> 197,465.10 </w:t>
      </w:r>
      <w:r>
        <w:rPr>
          <w:rFonts w:hint="eastAsia"/>
          <w:color w:val="000000"/>
        </w:rPr>
        <w:t xml:space="preserve">kWh，涉及</w:t>
      </w:r>
      <w:r>
        <w:rPr>
          <w:color w:val="000000"/>
        </w:rPr>
        <w:t xml:space="preserve"> 1132 </w:t>
      </w:r>
      <w:r>
        <w:rPr>
          <w:rFonts w:hint="eastAsia"/>
          <w:color w:val="000000"/>
        </w:rPr>
        <w:t xml:space="preserve">个十分钟区间，不等同于同样数量的独立事件。未利用电量为</w:t>
      </w:r>
      <w:r>
        <w:rPr>
          <w:color w:val="000000"/>
        </w:rPr>
        <w:t xml:space="preserve"> 2,211,229.49 </w:t>
      </w:r>
      <w:r>
        <w:rPr>
          <w:rFonts w:hint="eastAsia"/>
          <w:color w:val="000000"/>
        </w:rPr>
        <w:t xml:space="preserve">kWh，其中可包含未消纳光伏和富余计划购电，不能全部称为弃光。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按月费用见图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7，主策略在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个评价月份中有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个月的总费用低于同期无余量。月度划分仅用于描述已固定策略的季节表现，未用于重新选超参数；月总费也受到月份天数和负载规模影响，不宜直接将其解读为单位供电效率。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3928319"/>
            <wp:effectExtent b="0" l="0" r="0" t="0"/>
            <wp:docPr descr="固定策略的月度总费用与紧急费用" title="" id="46" name="Picture"/>
            <a:graphic>
              <a:graphicData uri="http://schemas.openxmlformats.org/drawingml/2006/picture">
                <pic:pic>
                  <pic:nvPicPr>
                    <pic:cNvPr descr="../figures/q12_revision/fig07_monthly_co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928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固定策略的月度总费用与紧急费用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上面板为含紧急费用的月总费，下面板为其中的紧急费用。三条曲线依次分离预测改进和风险余量的作用。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月度预测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进一步见图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8。两块热力图各用自身的颜色上限，不能直接按跨面板颜色深浅比较负载与光伏误差；应读取格内数值。该图用于观察季节变化，不提供未计算的置信区间。</w:t>
      </w:r>
    </w:p>
    <w:p>
      <w:pPr>
        <w:pStyle w:val="CaptionedFigure"/>
        <w:keepNext/>
        <w:widowControl/>
        <w:spacing w:before="0" w:after="0" w:line="288" w:lineRule="auto"/>
        <w:ind w:firstLine="0"/>
        <w:jc w:val="center"/>
      </w:pPr>
      <w:r>
        <w:rPr>
          <w:color w:val="000000"/>
        </w:rPr>
        <w:drawing>
          <wp:inline>
            <wp:extent cx="5580000" cy="2767679"/>
            <wp:effectExtent b="0" l="0" r="0" t="0"/>
            <wp:docPr descr="同期预测与岭回归的月度误差" title="" id="49" name="Picture"/>
            <a:graphic>
              <a:graphicData uri="http://schemas.openxmlformats.org/drawingml/2006/picture">
                <pic:pic>
                  <pic:nvPicPr>
                    <pic:cNvPr descr="../figures/q12_revision/fig08_error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6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同期预测与岭回归的月度误差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每格为对应月份全部十分钟区间的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MAE，单位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kW；数值为整数显示，统计文件保留完整精度。</w:t>
      </w:r>
    </w:p>
    <w:bookmarkEnd w:id="51"/>
    <w:bookmarkStart w:id="56" w:name="题目指定日期的结果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7.4 </w:t>
      </w:r>
      <w:r>
        <w:rPr>
          <w:rFonts w:hint="eastAsia"/>
          <w:color w:val="000000"/>
        </w:rPr>
        <w:t xml:space="preserve">题目指定日期的结果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以下表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8—表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按题面并排布局给出四个日期的指定时段购电、全天量费及四小时储能汇总。购电量指普通计划量，全天购电费包含普通与紧急两部分；紧急量在表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单列。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2025-03-20 </w:t>
      </w:r>
      <w:r>
        <w:rPr>
          <w:rFonts w:hint="eastAsia"/>
          <w:color w:val="000000"/>
        </w:rPr>
        <w:t xml:space="preserve">的购电结果见表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8，储能结果见表</w:t>
      </w:r>
      <w:r>
        <w:rPr>
          <w:color w:val="000000"/>
        </w:rPr>
        <w:t xml:space="preserve"> 9。</w:t>
      </w:r>
    </w:p>
    <w:bookmarkStart w:id="52" w:name="的运行结果"/>
    <w:p>
      <w:pPr>
        <w:pStyle w:val="Heading3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2025-03-20 </w:t>
      </w:r>
      <w:r>
        <w:rPr>
          <w:rFonts w:hint="eastAsia"/>
          <w:color w:val="000000"/>
        </w:rPr>
        <w:t xml:space="preserve">的运行结果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2025-03-20 </w:t>
      </w:r>
      <w:r>
        <w:rPr>
          <w:rFonts w:hint="eastAsia"/>
          <w:color w:val="000000"/>
        </w:rPr>
        <w:t xml:space="preserve">指定时段购电与全天费用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41,276.85 元</w:t>
            </w:r>
          </w:p>
        </w:tc>
      </w:tr>
    </w:tbl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2025-03-20 </w:t>
      </w:r>
      <w:r>
        <w:rPr>
          <w:rFonts w:hint="eastAsia"/>
          <w:color w:val="000000"/>
        </w:rPr>
        <w:t xml:space="preserve">充放电与边界储电量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5,659.90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6,376.92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2025-06-21 </w:t>
      </w:r>
      <w:r>
        <w:rPr>
          <w:rFonts w:hint="eastAsia"/>
          <w:color w:val="000000"/>
        </w:rPr>
        <w:t xml:space="preserve">的购电结果见表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10，储能结果见表</w:t>
      </w:r>
      <w:r>
        <w:rPr>
          <w:color w:val="000000"/>
        </w:rPr>
        <w:t xml:space="preserve"> 11。</w:t>
      </w:r>
    </w:p>
    <w:bookmarkEnd w:id="52"/>
    <w:bookmarkStart w:id="53" w:name="的运行结果-1"/>
    <w:p>
      <w:pPr>
        <w:pStyle w:val="Heading3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2025-06-21 </w:t>
      </w:r>
      <w:r>
        <w:rPr>
          <w:rFonts w:hint="eastAsia"/>
          <w:color w:val="000000"/>
        </w:rPr>
        <w:t xml:space="preserve">的运行结果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2025-06-21 </w:t>
      </w:r>
      <w:r>
        <w:rPr>
          <w:rFonts w:hint="eastAsia"/>
          <w:color w:val="000000"/>
        </w:rPr>
        <w:t xml:space="preserve">指定时段购电与全天费用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2025-06-21 </w:t>
      </w:r>
      <w:r>
        <w:rPr>
          <w:rFonts w:hint="eastAsia"/>
          <w:color w:val="000000"/>
        </w:rPr>
        <w:t xml:space="preserve">充放电与边界储电量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2025-09-23 </w:t>
      </w:r>
      <w:r>
        <w:rPr>
          <w:rFonts w:hint="eastAsia"/>
          <w:color w:val="000000"/>
        </w:rPr>
        <w:t xml:space="preserve">的购电结果见表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12，储能结果见表</w:t>
      </w:r>
      <w:r>
        <w:rPr>
          <w:color w:val="000000"/>
        </w:rPr>
        <w:t xml:space="preserve"> 13。</w:t>
      </w:r>
    </w:p>
    <w:bookmarkEnd w:id="53"/>
    <w:bookmarkStart w:id="54" w:name="的运行结果-2"/>
    <w:p>
      <w:pPr>
        <w:pStyle w:val="Heading3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2025-09-23 </w:t>
      </w:r>
      <w:r>
        <w:rPr>
          <w:rFonts w:hint="eastAsia"/>
          <w:color w:val="000000"/>
        </w:rPr>
        <w:t xml:space="preserve">的运行结果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2025-09-23 </w:t>
      </w:r>
      <w:r>
        <w:rPr>
          <w:rFonts w:hint="eastAsia"/>
          <w:color w:val="000000"/>
        </w:rPr>
        <w:t xml:space="preserve">指定时段购电与全天费用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2025-09-23 </w:t>
      </w:r>
      <w:r>
        <w:rPr>
          <w:rFonts w:hint="eastAsia"/>
          <w:color w:val="000000"/>
        </w:rPr>
        <w:t xml:space="preserve">充放电与边界储电量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color w:val="000000"/>
        </w:rPr>
        <w:t xml:space="preserve">2025-12-21 </w:t>
      </w:r>
      <w:r>
        <w:rPr>
          <w:rFonts w:hint="eastAsia"/>
          <w:color w:val="000000"/>
        </w:rPr>
        <w:t xml:space="preserve">的购电结果见表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14，储能结果见表</w:t>
      </w:r>
      <w:r>
        <w:rPr>
          <w:color w:val="000000"/>
        </w:rPr>
        <w:t xml:space="preserve"> 15。</w:t>
      </w:r>
    </w:p>
    <w:bookmarkEnd w:id="54"/>
    <w:bookmarkStart w:id="55" w:name="的运行结果-3"/>
    <w:p>
      <w:pPr>
        <w:pStyle w:val="Heading3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2025-12-21 </w:t>
      </w:r>
      <w:r>
        <w:rPr>
          <w:rFonts w:hint="eastAsia"/>
          <w:color w:val="000000"/>
        </w:rPr>
        <w:t xml:space="preserve">的运行结果</w:t>
      </w:r>
    </w:p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2025-12-21 </w:t>
      </w:r>
      <w:r>
        <w:rPr>
          <w:rFonts w:hint="eastAsia"/>
          <w:color w:val="000000"/>
        </w:rPr>
        <w:t xml:space="preserve">指定时段购电与全天费用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2025-12-21 </w:t>
      </w:r>
      <w:r>
        <w:rPr>
          <w:rFonts w:hint="eastAsia"/>
          <w:color w:val="000000"/>
        </w:rPr>
        <w:t xml:space="preserve">充放电与边界储电量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Caption"/>
        <w:keepNext/>
        <w:widowControl/>
        <w:spacing w:before="100" w:after="100" w:line="288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四个指定日期的紧急购电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on"/>
          <w:cantSplit/>
          <w:tblHeader/>
        </w:trPr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3月20日时段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电量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6月21日时段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电量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9月23日时段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电量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12月21日时段</w:t>
            </w:r>
          </w:p>
        </w:tc>
        <w:tc>
          <w:tcPr>
            <w:tcW w:type="dxa" w:w="11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7"/>
              </w:rPr>
              <w:t xml:space="preserve">无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0.00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7"/>
              </w:rPr>
              <w:t xml:space="preserve">无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0.00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20:20-20:30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0.33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07:50-08:00</w:t>
            </w:r>
          </w:p>
        </w:tc>
        <w:tc>
          <w:tcPr>
            <w:tcW w:type="dxa" w:w="11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23.78</w:t>
            </w:r>
          </w:p>
        </w:tc>
      </w:tr>
    </w:tbl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以上电量单位为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kWh、费用单位为元。3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日与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日无紧急购电；9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日发生于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20:20—20:30，12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日发生于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07:50—08:00。连续正紧急购电槽合并为一个区间，不跨日合并。</w:t>
      </w:r>
    </w:p>
    <w:bookmarkEnd w:id="55"/>
    <w:bookmarkEnd w:id="56"/>
    <w:bookmarkEnd w:id="57"/>
    <w:bookmarkStart w:id="60" w:name="八-模型检验与适用范围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模型检验与适用范围</w:t>
      </w:r>
    </w:p>
    <w:bookmarkStart w:id="58" w:name="数值与因果检查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数值与因果检查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复算以保存的完整精度逐时结果为依据，再逐项核对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Excel。检查包括供电平衡、SOC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递推、跨日状态衔接、非负电量、功率与容量限制、充放电互斥以及普通和紧急费用。CSV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保留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位有效数字，论文显示两位小数，两位小数表不用于重新计算约束残差。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程序测试用可手算的两时段套利验证最优目标，用电池容量边界验证充放电与紧急补购，用改变未来输入后的前缀不变性检查信息边界。全期物理残差在</w:t>
      </w:r>
      <w:r>
        <w:rPr>
          <w:color w:val="000000"/>
        </w:rPr>
        <w:t xml:space="preserve"> 10⁻⁵ kWh </w:t>
      </w:r>
      <w:r>
        <w:rPr>
          <w:rFonts w:hint="eastAsia"/>
          <w:color w:val="000000"/>
        </w:rPr>
        <w:t xml:space="preserve">容差内，未发现违约记录。数值可行性检查不能替代对时间标签和效率解释的审题判断。</w:t>
      </w:r>
    </w:p>
    <w:bookmarkEnd w:id="58"/>
    <w:bookmarkStart w:id="59" w:name="局限与后续改进"/>
    <w:p>
      <w:pPr>
        <w:pStyle w:val="Heading2"/>
        <w:keepNext/>
        <w:widowControl/>
        <w:spacing w:before="200" w:after="140" w:line="288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局限与后续改进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第一问是给定假设下的确定性最优解；没有计入电池磨损，不能据此保证高频切换在实际设备中最经济。若增加磨损惩罚或平滑约束，应重新求解并作为新模型报告，不可只平滑购电图来暗中修改方案。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第二问的经验分位数没有联合供电可靠性保证，一月份十天验证不足以覆盖所有季节。实时贪心控制、6000</w:t>
      </w:r>
      <w:r>
        <w:rPr>
          <w:color w:val="000000"/>
        </w:rPr>
        <w:t xml:space="preserve"> kWh </w:t>
      </w:r>
      <w:r>
        <w:rPr>
          <w:rFonts w:hint="eastAsia"/>
          <w:color w:val="000000"/>
        </w:rPr>
        <w:t xml:space="preserve">名义终端目标与短历史训练窗均为可改进环节，现有实验没有证明其优于所有神经网络或场景优化方案。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若继续扩展，可比较滚动的多季节验证、终端储能目标和显式场景优化，并在第三问中引入题目提供的日内预报。当前前两问不需要训练</w:t>
      </w:r>
      <w:r>
        <w:rPr>
          <w:color w:val="000000"/>
        </w:rPr>
        <w:t xml:space="preserve"> GRU </w:t>
      </w:r>
      <w:r>
        <w:rPr>
          <w:rFonts w:hint="eastAsia"/>
          <w:color w:val="000000"/>
        </w:rPr>
        <w:t xml:space="preserve">或</w:t>
      </w:r>
      <w:r>
        <w:rPr>
          <w:color w:val="000000"/>
        </w:rPr>
        <w:t xml:space="preserve"> LSTM </w:t>
      </w:r>
      <w:r>
        <w:rPr>
          <w:rFonts w:hint="eastAsia"/>
          <w:color w:val="000000"/>
        </w:rPr>
        <w:t xml:space="preserve">才能成立，是否采用复杂预测器应由同等信息条件下的费用与误差共同决定。</w:t>
      </w:r>
    </w:p>
    <w:bookmarkEnd w:id="59"/>
    <w:bookmarkEnd w:id="60"/>
    <w:bookmarkStart w:id="61" w:name="九-结论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结论</w:t>
      </w:r>
    </w:p>
    <w:p>
      <w:pPr>
        <w:pStyle w:val="FirstParagraph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已知供需曲线时，采用带互斥约束的</w:t>
      </w:r>
      <w:r>
        <w:rPr>
          <w:color w:val="000000"/>
        </w:rPr>
        <w:t xml:space="preserve"> MILP </w:t>
      </w:r>
      <w:r>
        <w:rPr>
          <w:rFonts w:hint="eastAsia"/>
          <w:color w:val="000000"/>
        </w:rPr>
        <w:t xml:space="preserve">可得到费用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元的单日调度，最优性由线性松弛下界和整数解共同支持。供需未知时，岭回归与风险余量连接日前调度，在本次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天回测中获得</w:t>
      </w:r>
      <w:r>
        <w:rPr>
          <w:color w:val="000000"/>
        </w:rPr>
        <w:t xml:space="preserve"> 1,413.26 </w:t>
      </w:r>
      <w:r>
        <w:rPr>
          <w:rFonts w:hint="eastAsia"/>
          <w:color w:val="000000"/>
        </w:rPr>
        <w:t xml:space="preserve">万元总费用。适度余量减少紧急补购，但零紧急购电不是成本最小的同义词。</w:t>
      </w:r>
    </w:p>
    <w:p>
      <w:pPr>
        <w:pStyle w:val="BodyText"/>
        <w:widowControl/>
        <w:spacing w:before="0" w:after="100" w:line="288" w:lineRule="auto"/>
        <w:ind w:firstLine="480"/>
        <w:jc w:val="both"/>
      </w:pPr>
      <w:r>
        <w:rPr>
          <w:rFonts w:hint="eastAsia"/>
          <w:color w:val="000000"/>
        </w:rPr>
        <w:t xml:space="preserve">本文统一了电量单位、损耗、计划付费与跨日状态的计算口径。结论依赖于所列效率解释、时间离散及即时平衡假设；第三、四问尚未纳入本稿。</w:t>
      </w:r>
    </w:p>
    <w:bookmarkEnd w:id="61"/>
    <w:bookmarkStart w:id="62" w:name="参考文献"/>
    <w:p>
      <w:pPr>
        <w:pStyle w:val="Heading1"/>
        <w:keepNext/>
        <w:pageBreakBefore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参考文献</w:t>
      </w:r>
    </w:p>
    <w:p>
      <w:pPr>
        <w:pStyle w:val="FirstParagraph"/>
        <w:widowControl/>
        <w:spacing w:before="0" w:after="100" w:line="288" w:lineRule="auto"/>
        <w:ind w:firstLine="0"/>
        <w:jc w:val="left"/>
      </w:pPr>
      <w:r>
        <w:rPr>
          <w:color w:val="000000"/>
          <w:sz w:val="20"/>
        </w:rPr>
        <w:t xml:space="preserve">[1] </w:t>
      </w:r>
      <w:r>
        <w:rPr>
          <w:rFonts w:hint="eastAsia"/>
          <w:color w:val="000000"/>
          <w:sz w:val="20"/>
        </w:rPr>
        <w:t xml:space="preserve">全国大学生数学建模竞赛组委会.</w:t>
      </w:r>
      <w:r>
        <w:rPr>
          <w:color w:val="000000"/>
          <w:sz w:val="20"/>
        </w:rPr>
        <w:t xml:space="preserve"> 2026 </w:t>
      </w:r>
      <w:r>
        <w:rPr>
          <w:rFonts w:hint="eastAsia"/>
          <w:color w:val="000000"/>
          <w:sz w:val="20"/>
        </w:rPr>
        <w:t xml:space="preserve">年高教社杯全国大学生数学建模竞赛</w:t>
      </w:r>
      <w:r>
        <w:rPr>
          <w:color w:val="000000"/>
          <w:sz w:val="20"/>
        </w:rPr>
        <w:t xml:space="preserve"> C </w:t>
      </w:r>
      <w:r>
        <w:rPr>
          <w:rFonts w:hint="eastAsia"/>
          <w:color w:val="000000"/>
          <w:sz w:val="20"/>
        </w:rPr>
        <w:t xml:space="preserve">题：微网与外部电网电力调控策略.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用户提供题面与附件.</w:t>
      </w:r>
    </w:p>
    <w:p>
      <w:pPr>
        <w:pStyle w:val="BodyText"/>
        <w:widowControl/>
        <w:spacing w:before="0" w:after="100" w:line="288" w:lineRule="auto"/>
        <w:ind w:firstLine="0"/>
        <w:jc w:val="left"/>
      </w:pPr>
      <w:r>
        <w:rPr>
          <w:color w:val="000000"/>
          <w:sz w:val="20"/>
        </w:rPr>
        <w:t xml:space="preserve">[2] SciPy Developers. scipy.optimize.milp[EB/OL]. https://docs.scipy.org/doc/scipy/reference/generated/scipy.optimize.milp.html. </w:t>
      </w:r>
      <w:r>
        <w:rPr>
          <w:rFonts w:hint="eastAsia"/>
          <w:color w:val="000000"/>
          <w:sz w:val="20"/>
        </w:rPr>
        <w:t xml:space="preserve">访问日期：2026-09-10；运行版本：1.17.1.</w:t>
      </w:r>
    </w:p>
    <w:p>
      <w:pPr>
        <w:pStyle w:val="BodyText"/>
        <w:widowControl/>
        <w:spacing w:before="0" w:after="100" w:line="288" w:lineRule="auto"/>
        <w:ind w:firstLine="0"/>
        <w:jc w:val="left"/>
      </w:pPr>
      <w:r>
        <w:rPr>
          <w:color w:val="000000"/>
          <w:sz w:val="20"/>
        </w:rPr>
        <w:t xml:space="preserve">[3] scikit-learn Developers. Ridge[EB/OL]. https://scikit-learn.org/stable/modules/generated/sklearn.linear_model.Ridge.html. </w:t>
      </w:r>
      <w:r>
        <w:rPr>
          <w:rFonts w:hint="eastAsia"/>
          <w:color w:val="000000"/>
          <w:sz w:val="20"/>
        </w:rPr>
        <w:t xml:space="preserve">访问日期：2026-09-10.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本文按该目标以</w:t>
      </w:r>
      <w:r>
        <w:rPr>
          <w:color w:val="000000"/>
          <w:sz w:val="20"/>
        </w:rPr>
        <w:t xml:space="preserve"> NumPy </w:t>
      </w:r>
      <w:r>
        <w:rPr>
          <w:rFonts w:hint="eastAsia"/>
          <w:color w:val="000000"/>
          <w:sz w:val="20"/>
        </w:rPr>
        <w:t xml:space="preserve">实现，未调用</w:t>
      </w:r>
      <w:r>
        <w:rPr>
          <w:color w:val="000000"/>
          <w:sz w:val="20"/>
        </w:rPr>
        <w:t xml:space="preserve"> scikit-learn.</w:t>
      </w:r>
    </w:p>
    <w:bookmarkEnd w:id="62"/>
    <w:bookmarkStart w:id="63" w:name="附录-支撑材料与运行说明"/>
    <w:p>
      <w:pPr>
        <w:pStyle w:val="Heading1"/>
        <w:keepNext/>
        <w:widowControl/>
        <w:spacing w:before="200" w:after="140" w:line="288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支撑材料与运行说明</w:t>
      </w:r>
    </w:p>
    <w:p>
      <w:pPr>
        <w:pStyle w:val="FirstParagraph"/>
        <w:widowControl/>
        <w:spacing w:before="0" w:after="100" w:line="288" w:lineRule="auto"/>
        <w:ind w:firstLine="0"/>
        <w:jc w:val="both"/>
      </w:pPr>
      <w:r>
        <w:rPr>
          <w:rFonts w:hint="eastAsia"/>
          <w:color w:val="000000"/>
          <w:sz w:val="20"/>
        </w:rPr>
        <w:t xml:space="preserve">数学计算程序为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src/q12.py，七项基础测试位于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tests/test_q12.py，逐时结果核对程序为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src/verify_q12.py。主结果保存在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artifacts/q12，含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result1.xlsx、result2.xlsx、四组逐时压缩记录、逐日指标与验证比较。修订图表和分月统计分别位于</w:t>
      </w:r>
      <w:r>
        <w:rPr>
          <w:color w:val="000000"/>
          <w:sz w:val="20"/>
        </w:rPr>
        <w:t xml:space="preserve"> figures/q12_revision </w:t>
      </w:r>
      <w:r>
        <w:rPr>
          <w:rFonts w:hint="eastAsia"/>
          <w:color w:val="000000"/>
          <w:sz w:val="20"/>
        </w:rPr>
        <w:t xml:space="preserve">与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artifacts/q12_revision，初稿重建程序为</w:t>
      </w:r>
      <w:r>
        <w:rPr>
          <w:color w:val="000000"/>
          <w:sz w:val="20"/>
        </w:rPr>
        <w:t xml:space="preserve"> src/revise_q12.py。</w:t>
      </w:r>
    </w:p>
    <w:p>
      <w:pPr>
        <w:pStyle w:val="BodyText"/>
        <w:widowControl/>
        <w:spacing w:before="0" w:after="100" w:line="288" w:lineRule="auto"/>
        <w:ind w:firstLine="0"/>
        <w:jc w:val="both"/>
      </w:pPr>
      <w:r>
        <w:rPr>
          <w:rFonts w:hint="eastAsia"/>
          <w:color w:val="000000"/>
          <w:sz w:val="20"/>
        </w:rPr>
        <w:t xml:space="preserve">使用</w:t>
      </w:r>
      <w:r>
        <w:rPr>
          <w:color w:val="000000"/>
          <w:sz w:val="20"/>
        </w:rPr>
        <w:t xml:space="preserve"> Python 3.12.14、NumPy 2.3.5、SciPy 1.17.1、pandas 2.2.3 </w:t>
      </w:r>
      <w:r>
        <w:rPr>
          <w:rFonts w:hint="eastAsia"/>
          <w:color w:val="000000"/>
          <w:sz w:val="20"/>
        </w:rPr>
        <w:t xml:space="preserve">和</w:t>
      </w:r>
      <w:r>
        <w:rPr>
          <w:color w:val="000000"/>
          <w:sz w:val="20"/>
        </w:rPr>
        <w:t xml:space="preserve"> Matplotlib </w:t>
      </w:r>
      <w:r>
        <w:rPr>
          <w:rFonts w:hint="eastAsia"/>
          <w:color w:val="000000"/>
          <w:sz w:val="20"/>
        </w:rPr>
        <w:t xml:space="preserve">3.10.9。安装依赖后，从仓库根目录运行模型，并通过</w:t>
      </w:r>
      <w:r>
        <w:rPr>
          <w:color w:val="000000"/>
          <w:sz w:val="20"/>
        </w:rPr>
        <w:t xml:space="preserve"> –data-root </w:t>
      </w:r>
      <w:r>
        <w:rPr>
          <w:rFonts w:hint="eastAsia"/>
          <w:color w:val="000000"/>
          <w:sz w:val="20"/>
        </w:rPr>
        <w:t xml:space="preserve">指向原题目录。前两问整套四组回测在本机一次执行约</w:t>
      </w:r>
      <w:r>
        <w:rPr>
          <w:color w:val="000000"/>
          <w:sz w:val="20"/>
        </w:rPr>
        <w:t xml:space="preserve"> 61.7 </w:t>
      </w:r>
      <w:r>
        <w:rPr>
          <w:rFonts w:hint="eastAsia"/>
          <w:color w:val="000000"/>
          <w:sz w:val="20"/>
        </w:rPr>
        <w:t xml:space="preserve">秒，不含程序开发与文档制作。原始附件需由使用者另行取得，不能仅凭论文复现原始输入。当前是前两问初稿，完整代码附件与</w:t>
      </w:r>
      <w:r>
        <w:rPr>
          <w:color w:val="000000"/>
          <w:sz w:val="20"/>
        </w:rPr>
        <w:t xml:space="preserve"> AI </w:t>
      </w:r>
      <w:r>
        <w:rPr>
          <w:rFonts w:hint="eastAsia"/>
          <w:color w:val="000000"/>
          <w:sz w:val="20"/>
        </w:rPr>
        <w:t xml:space="preserve">使用记录应在全篇定稿时统一整理。</w:t>
      </w:r>
    </w:p>
    <w:bookmarkEnd w:id="63"/>
    <w:bookmarkEnd w:id="64"/>
    <w:sectPr w:rsidR="00FC693F" w:rsidRPr="0006063C" w:rsidSect="00034616">
      <w:footerReference w:type="default" r:id="rId9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8" w:lineRule="auto"/>
      <w:ind w:firstLine="480"/>
    </w:pPr>
    <w:rPr>
      <w:rFonts w:ascii="Times New Roman" w:eastAsia="宋体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cstheme="majorBidi" w:eastAsiaTheme="majorEastAsia" w:hAnsiTheme="majorHAnsi" w:ascii="Times New Roman" w:hAnsi="Times New Roman" w:eastAsia="黑体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Times New Roman" w:hAnsi="Times New Roman" w:eastAsia="宋体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88" w:lineRule="auto"/>
      <w:ind w:firstLine="480"/>
    </w:pPr>
    <w:rPr>
      <w:rFonts w:ascii="Times New Roman" w:eastAsia="宋体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考虑预测误差的微网日前购电与储能调度</dc:title>
  <dc:creator/>
  <cp:keywords/>
  <dcterms:created xsi:type="dcterms:W3CDTF">2026-09-11T01:52:32Z</dcterms:created>
  <dcterms:modified xsi:type="dcterms:W3CDTF">2026-09-11T01:52:32Z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