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00" w:lineRule="auto"/>
        <w:jc w:val="center"/>
      </w:pPr>
      <w:r>
        <w:rPr>
          <w:rFonts w:ascii="Times New Roman" w:hAnsi="Times New Roman" w:eastAsia="SimSun"/>
          <w:b/>
          <w:i w:val="0"/>
          <w:sz w:val="32"/>
        </w:rPr>
        <w:t>文档截图与视频素材清单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本文件规定报告、PPT 和答辩视频的素材放置位置、命名规则和后续合成方式。你截图时只需要按这里的文件名保存，后续我可以直接按目录批量合成论文风格效果图。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总目录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原始截图放在：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合成后的报告插图放在：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最终演示视频放在：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素材/截图或者视频/final_demo/</w:t>
      </w:r>
    </w:p>
    <w:p/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图 1 到图 3：三模型 LOD 对比大图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目标：生成 3 张论文式网格图，每张图对应一个模型。Indoor Plant 和 Girl 每张图包含 20 张子图，Horse 因未截图 PBR 模式，最终为 15 张子图。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布局规则：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Indoor Plant / Girl = 4 行 x 5 列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Horse = 3 行 x 5 列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行：线框、无材质、真实材质、热力图；Horse 不包含真实材质行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列：LOD 100、LOD 075、LOD 050、LOD 025、LOD 004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 xml:space="preserve">建议统一使用自然光，视角、缩放、模型位置尽量保持一致。这里按系统实际生成的 </w:t>
      </w:r>
      <w:r>
        <w:rPr>
          <w:rFonts w:ascii="Times New Roman" w:hAnsi="Times New Roman" w:eastAsia="SimSun"/>
          <w:b w:val="0"/>
          <w:i w:val="0"/>
          <w:sz w:val="22"/>
        </w:rPr>
        <w:t>LOD 004</w:t>
      </w:r>
      <w:r>
        <w:rPr>
          <w:rFonts w:ascii="Times New Roman" w:hAnsi="Times New Roman" w:eastAsia="SimSun"/>
          <w:b w:val="0"/>
          <w:i w:val="0"/>
          <w:sz w:val="24"/>
        </w:rPr>
        <w:t xml:space="preserve"> 作为最低展示档。</w:t>
      </w:r>
    </w:p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图 1：Indoor Plant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result/report_assets/raw/lod_grid/indoor_plant/wireframe/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result/report_assets/raw/lod_grid/indoor_plant/matte/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result/report_assets/raw/lod_grid/indoor_plant/pbr/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result/report_assets/raw/lod_grid/indoor_plant/heatmap/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每个模式文件夹内保存：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lod_100.png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lod_075.png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lod_050.png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lod_025.png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lod_004.png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最终合成图输出为：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result/report_assets/composite/fig01_indoor_plant_lod_grid.png</w:t>
      </w:r>
    </w:p>
    <w:p/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图 2：Horse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result/report_assets/raw/lod_grid/horse/wireframe/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result/report_assets/raw/lod_grid/horse/matte/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result/report_assets/raw/lod_grid/horse/heatmap/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每个模式文件夹内保存：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lod_100.png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lod_075.png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lod_050.png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lod_025.png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lod_004.png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说明：Horse 未截图 PBR 模式，最终合成图使用线框、无材质和热力图三行。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最终合成图输出为：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result/report_assets/composite/fig02_horse_lod_grid.png</w:t>
      </w:r>
    </w:p>
    <w:p/>
    <w:p>
      <w:pPr>
        <w:pStyle w:val="Heading3"/>
      </w:pPr>
      <w:r>
        <w:rPr>
          <w:rFonts w:ascii="Times New Roman" w:hAnsi="Times New Roman" w:eastAsia="SimSun"/>
          <w:b/>
          <w:i w:val="0"/>
          <w:sz w:val="24"/>
        </w:rPr>
        <w:t>图 3：Girl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result/report_assets/raw/lod_grid/girl/wireframe/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result/report_assets/raw/lod_grid/girl/matte/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result/report_assets/raw/lod_grid/girl/pbr/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result/report_assets/raw/lod_grid/girl/heatmap/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每个模式文件夹内保存：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lod_100.png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lod_075.png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lod_050.png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lod_025.png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lod_004.png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最终合成图输出为：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result/report_assets/composite/fig03_girl_lod_grid.png</w:t>
      </w:r>
    </w:p>
    <w:p/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图 4：Empire Children 点光源效果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目标：单独展示点光源的位置、颜色、角度变化，合成一张 2 x 2 图。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result/report_assets/raw/lighting/empire_children/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建议文件名：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light_01_front_warm.png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light_02_side_red.png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light_03_top_blue.png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light_04_back_green.png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最终合成图输出为：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result/report_assets/composite/fig04_empire_children_lighting.png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截图建议：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保留点光源小球或明显的局部明暗变化。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四张图尽量使用同一模型缩放比例。</w:t>
      </w:r>
    </w:p>
    <w:p>
      <w:pPr>
        <w:pStyle w:val="ListBullet"/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每张只改变一个主要因素：角度、颜色或位置。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图 5：Girl 自适应 LOD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目标：展示不同屏幕误差阈值下，从近到远时自适应 LOD 的切换效果。最终合成一张 4 x 3 图。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布局规则：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行：近景、中近景、中远景、远景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列：低阈值、中阈值、高阈值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截图保存到：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result/report_assets/raw/adaptive/girl/threshold_low/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result/report_assets/raw/adaptive/girl/threshold_mid/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result/report_assets/raw/adaptive/girl/threshold_high/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每个阈值文件夹内保存：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view_01_near.png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view_02_mid_near.png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view_03_mid_far.png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view_04_far.png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最终合成图输出为：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result/report_assets/composite/fig05_girl_adaptive_lod.png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建议阈值：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threshold_low：1.0 px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threshold_mid：3.0 px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threshold_high：6.0 px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 xml:space="preserve">如果实际效果不明显，可以改成 </w:t>
      </w:r>
      <w:r>
        <w:rPr>
          <w:rFonts w:ascii="Times New Roman" w:hAnsi="Times New Roman" w:eastAsia="SimSun"/>
          <w:b w:val="0"/>
          <w:i w:val="0"/>
          <w:sz w:val="22"/>
        </w:rPr>
        <w:t>0.5 px / 2.0 px / 8.0 px</w:t>
      </w:r>
      <w:r>
        <w:rPr>
          <w:rFonts w:ascii="Times New Roman" w:hAnsi="Times New Roman" w:eastAsia="SimSun"/>
          <w:b w:val="0"/>
          <w:i w:val="0"/>
          <w:sz w:val="24"/>
        </w:rPr>
        <w:t>。关键是三列的当前 LOD 和屏幕误差要能看出差异。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视频 1：最终演示视频</w:t>
      </w:r>
    </w:p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只录一个综合视频，保存到：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素材/截图或者视频/final_demo/video01_final_demo.mp4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建议结构：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1. 同一模型，自然光，展示手动 LOD 的无材质和线框。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2. 录到右侧误差曲线和 LOD 参数变化。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3. 调整屏幕误差阈值，展示自适应 LOD。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4. 调整热力图强度，展示真实材质和热力图。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5. 展示不同角度、颜色的自然光。</w:t>
      </w:r>
    </w:p>
    <w:p>
      <w:pPr>
        <w:spacing w:before="0" w:after="0" w:line="240" w:lineRule="auto"/>
        <w:ind w:left="283"/>
      </w:pPr>
      <w:r>
        <w:rPr>
          <w:rFonts w:ascii="Times New Roman" w:hAnsi="Times New Roman" w:eastAsia="SimSun"/>
          <w:b w:val="0"/>
          <w:i w:val="0"/>
          <w:sz w:val="21"/>
        </w:rPr>
        <w:t>6. 展示不同位置、颜色的点光源。</w:t>
      </w:r>
    </w:p>
    <w:p/>
    <w:p>
      <w:pPr>
        <w:spacing w:before="0" w:after="120" w:line="300" w:lineRule="auto"/>
      </w:pPr>
      <w:r>
        <w:rPr>
          <w:rFonts w:ascii="Times New Roman" w:hAnsi="Times New Roman" w:eastAsia="SimSun"/>
          <w:b w:val="0"/>
          <w:i w:val="0"/>
          <w:sz w:val="24"/>
        </w:rPr>
        <w:t>建议时长：60 到 90 秒。太短讲不清系统能力，太长答辩时不容易播放。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截图统一要求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1. 同一组对比图必须保持相同窗口大小、相同自然光、相同相机视角。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2. 图 1 到图 3 尽量不要把左侧上传区截进去，只截模型视窗和必要的右侧参数即可。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3. 热力图不要整片红黄，调到能看到蓝、黄、红过渡。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4. 截图中不要出现“等待上传”、“处理失败”等无效状态。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5. 文件名必须完全按本清单保存，后续才能自动合成。</w:t>
      </w:r>
    </w:p>
    <w:p>
      <w:pPr>
        <w:spacing w:before="0" w:after="120" w:line="300" w:lineRule="auto"/>
        <w:ind w:left="420"/>
      </w:pPr>
      <w:r>
        <w:rPr>
          <w:rFonts w:ascii="Times New Roman" w:hAnsi="Times New Roman" w:eastAsia="SimSun"/>
          <w:b w:val="0"/>
          <w:i w:val="0"/>
          <w:sz w:val="24"/>
        </w:rPr>
        <w:t>6. 优先用 PNG，不要用 JPG，避免线框和文字被压缩糊掉。</w:t>
      </w:r>
    </w:p>
    <w:p>
      <w:pPr>
        <w:pStyle w:val="Heading2"/>
      </w:pPr>
      <w:r>
        <w:rPr>
          <w:rFonts w:ascii="Times New Roman" w:hAnsi="Times New Roman" w:eastAsia="SimSun"/>
          <w:b/>
          <w:i w:val="0"/>
          <w:sz w:val="28"/>
        </w:rPr>
        <w:t>合成图编号汇总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vAlign w:val="center"/>
            <w:shd w:fill="F2F2F2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编号</w:t>
            </w:r>
          </w:p>
        </w:tc>
        <w:tc>
          <w:tcPr>
            <w:tcW w:type="dxa" w:w="2183"/>
            <w:vAlign w:val="center"/>
            <w:shd w:fill="F2F2F2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输出文件</w:t>
            </w:r>
          </w:p>
        </w:tc>
        <w:tc>
          <w:tcPr>
            <w:tcW w:type="dxa" w:w="2183"/>
            <w:vAlign w:val="center"/>
            <w:shd w:fill="F2F2F2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内容</w:t>
            </w:r>
          </w:p>
        </w:tc>
        <w:tc>
          <w:tcPr>
            <w:tcW w:type="dxa" w:w="2183"/>
            <w:vAlign w:val="center"/>
            <w:shd w:fill="F2F2F2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/>
                <w:i w:val="0"/>
                <w:sz w:val="21"/>
              </w:rPr>
              <w:t>布局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图 1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fig01_indoor_plant_lod_grid.png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Indoor Plant 的线框、无材质、真实材质、热力图 LOD 对比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 x 5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图 2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fig02_horse_lod_grid.png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Horse 的线框、无材质、热力图 LOD 对比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3 x 5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图 3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fig03_girl_lod_grid.png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Girl 的线框、无材质、真实材质、热力图 LOD 对比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 x 5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图 4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fig04_empire_children_lighting.png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Empire Children 点光源位置和颜色变化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2 x 2</w:t>
            </w:r>
          </w:p>
        </w:tc>
      </w:tr>
      <w:tr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图 5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fig05_girl_adaptive_lod.png</w:t>
            </w:r>
            <w:r>
              <w:rPr>
                <w:rFonts w:ascii="Times New Roman" w:hAnsi="Times New Roman" w:eastAsia="SimSun"/>
                <w:b w:val="0"/>
                <w:i w:val="0"/>
                <w:sz w:val="21"/>
              </w:rPr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Girl 自适应 LOD 阈值和距离变化</w:t>
            </w:r>
          </w:p>
        </w:tc>
        <w:tc>
          <w:tcPr>
            <w:tcW w:type="dxa" w:w="2183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4 x 3</w:t>
            </w:r>
          </w:p>
        </w:tc>
      </w:tr>
    </w:tbl>
    <w:p/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