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4537" l="0" r="0" t="2453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98"/>
          <w:szCs w:val="98"/>
        </w:rPr>
      </w:pPr>
      <w:bookmarkStart w:colFirst="0" w:colLast="0" w:name="_4orukig2d4zl" w:id="0"/>
      <w:bookmarkEnd w:id="0"/>
      <w:r w:rsidDel="00000000" w:rsidR="00000000" w:rsidRPr="00000000">
        <w:rPr>
          <w:sz w:val="98"/>
          <w:szCs w:val="98"/>
          <w:rtl w:val="0"/>
        </w:rPr>
        <w:t xml:space="preserve">Global Incident Management Policy </w:t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7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Author,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Approver, 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1,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Creating initial policy 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Doe, PM IT 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Jane Doe, Head IT Ops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657b8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This handbook outlines the essential policies, standards, and templates for incident management in software product operations.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It is applicable to all employees, contractors, and vendors involved in incident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rc1kiejxyewe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This playbook serves as the definitive, authoritative guide for effectively managing incidents that could impact our customers, revenue streams, or regulatory commitments.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Its primary purpose is to ensure a swift, coordinated, and consistent response to all such events.Key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Through the diligent application of this playbook, we aim to achieve several critical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Mean Time to Acknowledge (MTTA) and Mean Time to Resolve (MTTR):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streamlining our detection and response processes, we will minimize the time it takes to identify an incident and bring it to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Minimize Customer Impact: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Our paramount goal is to safeguard our customers from the adverse effects of incidents, preserving their trust and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Legal and Contractual Obligations: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 are committed to upholding all legal and contractual agreements, particularly concerning data protection, service level agreements, and business continuity.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Continuously Improve Reliability and Security: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Incidents provide invaluable learning opportunities.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playbook fosters a culture of continuous improvement, leading to enhanced system reliability and a more robust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0"/>
        <w:rPr>
          <w:vertAlign w:val="baseline"/>
        </w:rPr>
      </w:pPr>
      <w:bookmarkStart w:colFirst="0" w:colLast="0" w:name="_a8q3fqo11hzb" w:id="2"/>
      <w:bookmarkEnd w:id="2"/>
      <w:r w:rsidDel="00000000" w:rsidR="00000000" w:rsidRPr="00000000">
        <w:rPr>
          <w:vertAlign w:val="baselin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playbook applies to all production and business-critical systems within our organization.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includes not only internally developed and managed systems but also third-party services that, if compromised or degraded, could materially affect the product experience or our ability to deliver services.Guiding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incident management philosophy is built upon the following core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First: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well-being of our employees and the integrity of our systems are always our top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 Customers and Data: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 are uncompromising in our commitment to safeguarding customer data and ensuring the privacy and security of their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Communicate Transparently: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 and honest communication is vital throughout an incident, both internally and with affected customers, as appropriate.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Bias to Mitigation: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Our initial focus during an incident is on mitigating its impact and restoring service as quickly as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 Where Safe: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 strive to automate incident response processes where feasible and safe, reducing manual effort and potential for human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Blameless Learning: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After an incident, we conduct blameless post-mortems to identify root causes and improve our processes, focusing on systemic issues rather than individual 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Data-Driven Decisions: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incident response actions and post-incident improvements are informed by objective data and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widowControl w:val="0"/>
        <w:rPr>
          <w:vertAlign w:val="baseline"/>
        </w:rPr>
      </w:pPr>
      <w:bookmarkStart w:colFirst="0" w:colLast="0" w:name="_enp9gi601mlv" w:id="3"/>
      <w:bookmarkEnd w:id="3"/>
      <w:r w:rsidDel="00000000" w:rsidR="00000000" w:rsidRPr="00000000">
        <w:rPr>
          <w:vertAlign w:val="baseline"/>
          <w:rtl w:val="0"/>
        </w:rPr>
        <w:t xml:space="preserve">How to Use This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effectively utilize this playbook, responders and stakeholders should: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the Incident Lifecycle (Section 4):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outlines the phases of incident management, from detection to resolution and post-mortem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Severity Rules (Section 5):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Understanding incident severity is crucial for prioritizing response efforts and allocating resources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 On-Call and Escalation Procedures (Section 6):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details how to engage on-call teams and escalate incidents appropriately.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Invoke Major Incident Management (MIM) for Major Events (Section 7):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incidents of significant impact, specific MIM protocols are to be followed.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 Templates (Section 29) and Link to Service Runbooks: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Standardized templates for incident communication and documentation, along with links to service-specific runbooks, will streamline the response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widowControl w:val="0"/>
        <w:rPr>
          <w:vertAlign w:val="baseline"/>
        </w:rPr>
      </w:pPr>
      <w:bookmarkStart w:colFirst="0" w:colLast="0" w:name="_ptamp5mq57eg" w:id="4"/>
      <w:bookmarkEnd w:id="4"/>
      <w:r w:rsidDel="00000000" w:rsidR="00000000" w:rsidRPr="00000000">
        <w:rPr>
          <w:vertAlign w:val="baseline"/>
          <w:rtl w:val="0"/>
        </w:rPr>
        <w:t xml:space="preserve">Key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management interacts with several other critical organizational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Incidents (Section 11):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Specific protocols for handling incidents with a security breach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Breach Notifications (Section 12):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Procedures for complying with data breach reporting regulations.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Continuity Planning (BCP) / Disaster Recovery (DR) (Section 13):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Integration with our broader BCP/DR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Controls (Section 20):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Ensuring that changes to systems are properly reviewed and approved to minimize incident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Escalations (Section 23):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Procedures for engaging and managing third-party vendors during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(Section 30):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Adherence to regulatory and industry compliance standards throughout incident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widowControl w:val="0"/>
        <w:rPr>
          <w:vertAlign w:val="baseline"/>
        </w:rPr>
      </w:pPr>
      <w:bookmarkStart w:colFirst="0" w:colLast="0" w:name="_ftitqy57blio" w:id="5"/>
      <w:bookmarkEnd w:id="5"/>
      <w:r w:rsidDel="00000000" w:rsidR="00000000" w:rsidRPr="00000000">
        <w:rPr>
          <w:vertAlign w:val="baseline"/>
          <w:rtl w:val="0"/>
        </w:rPr>
        <w:t xml:space="preserve">Target Audiences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playbook is designed for a diverse audience,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Responders: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Incident Managers (IM), Technical Leads (TL), Communication Leads (CL), and Service Leads (SL) directly involved in incident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Owners: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Responsible for the health and performance of their respective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 Reliability Engineers (SRE) / Support Teams: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Front-line teams involved in monitoring and initial incident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strategic oversight and high-level decision-making during major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/ Public Relations (PR):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managing legal implications and external communications.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demonstrate adherence to internal policies and external regulations.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widowControl w:val="0"/>
        <w:rPr>
          <w:vertAlign w:val="baseline"/>
        </w:rPr>
      </w:pPr>
      <w:bookmarkStart w:colFirst="0" w:colLast="0" w:name="_m6653gsknfb2" w:id="6"/>
      <w:bookmarkEnd w:id="6"/>
      <w:r w:rsidDel="00000000" w:rsidR="00000000" w:rsidRPr="00000000">
        <w:rPr>
          <w:vertAlign w:val="baseline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effectiveness of our incident management program will be measured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MTTA/MTTR Targets: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Achieving and consistently improving our targets for incident acknowledgment and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Post-Incident Review (PIR) Completion Timeliness: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Ensuring that PIRs are conducted promptly after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Closure Rate: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percentage of identified action items from PIRs that are successfully implemented.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Drill Cadence Adherence: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Regular practice and simulation of incident response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 Quality: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accuracy and actionable nature of our monitoring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Level Objective (SLO) Health: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Maintaining and improving the health of our critical service level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sexc9fuqm7a5" w:id="7"/>
      <w:bookmarkEnd w:id="7"/>
      <w:r w:rsidDel="00000000" w:rsidR="00000000" w:rsidRPr="00000000">
        <w:rPr>
          <w:rtl w:val="0"/>
        </w:rPr>
        <w:t xml:space="preserve">Document Control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This policy establishes the authoritative framework for incident management across all relevant teams, including Product Engineering, Site Reliability Engineering (SRE), Security, Customer Support, and IT Operations.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Its primary goal is to ensure a unified, efficient, and effective response to all incidents that impact </w:t>
      </w:r>
      <w:r w:rsidDel="00000000" w:rsidR="00000000" w:rsidRPr="00000000">
        <w:rPr>
          <w:rtl w:val="0"/>
        </w:rPr>
        <w:t xml:space="preserve">our organization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’s production systems and services, thereby minimizing disruption, protecting data integrity, and maintaining customer trust.Scope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This policy applies to all production systems and their supporting services that are critical to the delivery of </w:t>
      </w:r>
      <w:r w:rsidDel="00000000" w:rsidR="00000000" w:rsidRPr="00000000">
        <w:rPr>
          <w:rtl w:val="0"/>
        </w:rPr>
        <w:t xml:space="preserve">our organization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's product offerings.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This includes, but is not limited to, all infrastructure, applications, databases, and network components that directly contribute to the customer experience or house customer data.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Furthermore, the policy extends to all environments, whether production or pre-production, that host customer-facing or business-critical data, emphasizing the importance of data protection throughout its lifecycle.Ownership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Primary ownership of this incident management policy and its execution resides with SRE/IT Operations.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This team is responsible for developing, maintaining, and enforcing the incident management processes, as well as for coordinating incident response activities.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In the event of security incidents, Security Operations shares co-ownership, working in close collaboration with SRE/IT Operations to ensure that security protocols are followed, threats are mitigated, and necessary forensics and reporting are conducted.Exceptions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Any deviations from the established incident management policy must be formally documented and processed through the Risk Acceptance &amp; Exception Policy.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All exceptions require time-boxed approvals from designated stakeholders, ensuring that any accepted risks are temporary and are regularly reviewed.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The objective is to ensure that exceptions are granted only when absolutely necessary and that appropriate compensatory controls are in place to mitigate potential risks.Review Cadence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The comprehensive review and update schedule for this policy is detailed in Section 18 of the overarching governance document.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Regular reviews are crucial to ensure that the policy remains current, effective, and aligned with evolving industry best practices, technological advancements, and </w:t>
      </w:r>
      <w:r w:rsidDel="00000000" w:rsidR="00000000" w:rsidRPr="00000000">
        <w:rPr>
          <w:rtl w:val="0"/>
        </w:rPr>
        <w:t xml:space="preserve">our organization’s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operational requirements.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These reviews will involve key stakeholders from all impacted teams to solicit feedback and incorporate necessary adjustments.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npd1lu7nmd1d" w:id="8"/>
      <w:bookmarkEnd w:id="8"/>
      <w:r w:rsidDel="00000000" w:rsidR="00000000" w:rsidRPr="00000000">
        <w:rPr>
          <w:rtl w:val="0"/>
        </w:rPr>
        <w:t xml:space="preserve">Definitions &amp; Taxonomy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Check the Glossary section towards the end of this document.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6r1bxfs7el7s" w:id="9"/>
      <w:bookmarkEnd w:id="9"/>
      <w:r w:rsidDel="00000000" w:rsidR="00000000" w:rsidRPr="00000000">
        <w:rPr>
          <w:rtl w:val="0"/>
        </w:rPr>
        <w:t xml:space="preserve">Governance &amp; Roles (RACI)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Incident Manager (IM)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Orchestrates response, state tracking, decision cadence.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 Lead (TL)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Directs technical diagnosis and mitigation.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Comms Lead (CL)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Owns internal/external comms and status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Lead (SL)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Leads response for security incidents.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SRE On-Call (SRE 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First responder for platform signals.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Product/Feature On-Call (App 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First responder for app/service signals.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Support Lead (CSL)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messaging and triage intake.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Executive Duty Officer (EDO)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Executive escalation and trade-off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tjxm16l7601z" w:id="10"/>
      <w:bookmarkEnd w:id="10"/>
      <w:r w:rsidDel="00000000" w:rsidR="00000000" w:rsidRPr="00000000">
        <w:rPr>
          <w:rtl w:val="0"/>
        </w:rPr>
        <w:t xml:space="preserve">RACI overview by activity: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Declare/Severity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"/>
                <w:id w:val="-661400567"/>
                <w:dropDownList w:lastValue="IM">
                  <w:listItem w:displayText="CL" w:value="CL"/>
                  <w:listItem w:displayText="IM" w:value="IM"/>
                  <w:listItem w:displayText="IM+TL" w:value="IM+TL"/>
                  <w:listItem w:displayText="TL" w:value="T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"/>
                <w:id w:val="1384943233"/>
                <w:dropDownList w:lastValue="IM">
                  <w:listItem w:displayText="IM" w:value="IM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TL/SL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I"/>
                <w:id w:val="-498445876"/>
                <w:dropDownList w:lastValue="All">
                  <w:listItem w:displayText="All" w:value="Al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Mitigate/Recover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"/>
                <w:id w:val="-675040271"/>
                <w:dropDownList w:lastValue="TL">
                  <w:listItem w:displayText="CL" w:value="CL"/>
                  <w:listItem w:displayText="IM" w:value="IM"/>
                  <w:listItem w:displayText="IM+TL" w:value="IM+TL"/>
                  <w:listItem w:displayText="TL" w:value="T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"/>
                <w:id w:val="-1413046878"/>
                <w:dropDownList w:lastValue="IM">
                  <w:listItem w:displayText="IM" w:value="IM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SRE OC/App 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I"/>
                <w:id w:val="2024620761"/>
                <w:dropDownList w:lastValue="All">
                  <w:listItem w:displayText="All" w:value="Al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Comms (internal/external)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"/>
                <w:id w:val="1304813792"/>
                <w:dropDownList w:lastValue="CL">
                  <w:listItem w:displayText="CL" w:value="CL"/>
                  <w:listItem w:displayText="IM" w:value="IM"/>
                  <w:listItem w:displayText="IM+TL" w:value="IM+TL"/>
                  <w:listItem w:displayText="TL" w:value="T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"/>
                <w:id w:val="1274701816"/>
                <w:dropDownList w:lastValue="IM">
                  <w:listItem w:displayText="IM" w:value="IM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Legal/CSL/SL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I"/>
                <w:id w:val="440481768"/>
                <w:dropDownList w:lastValue="All">
                  <w:listItem w:displayText="All" w:value="Al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PIR/RCA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"/>
                <w:id w:val="812670215"/>
                <w:dropDownList w:lastValue="IM+TL">
                  <w:listItem w:displayText="CL" w:value="CL"/>
                  <w:listItem w:displayText="IM" w:value="IM"/>
                  <w:listItem w:displayText="IM+TL" w:value="IM+TL"/>
                  <w:listItem w:displayText="TL" w:value="T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IM+TL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"/>
                <w:id w:val="-1641816746"/>
                <w:dropDownList w:lastValue="IM">
                  <w:listItem w:displayText="IM" w:value="IM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SL/Owners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I"/>
                <w:id w:val="617622837"/>
                <w:dropDownList w:lastValue="All">
                  <w:listItem w:displayText="All" w:value="Al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Close/Actions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"/>
                <w:id w:val="2002294609"/>
                <w:dropDownList w:lastValue="IM">
                  <w:listItem w:displayText="CL" w:value="CL"/>
                  <w:listItem w:displayText="IM" w:value="IM"/>
                  <w:listItem w:displayText="IM+TL" w:value="IM+TL"/>
                  <w:listItem w:displayText="TL" w:value="T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"/>
                <w:id w:val="888348481"/>
                <w:dropDownList w:lastValue="IM">
                  <w:listItem w:displayText="IM" w:value="IM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I"/>
                <w:id w:val="1522961697"/>
                <w:dropDownList w:lastValue="All">
                  <w:listItem w:displayText="All" w:value="Al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snusgv1t35ij" w:id="11"/>
      <w:bookmarkEnd w:id="11"/>
      <w:r w:rsidDel="00000000" w:rsidR="00000000" w:rsidRPr="00000000">
        <w:rPr>
          <w:rtl w:val="0"/>
        </w:rPr>
        <w:t xml:space="preserve">Incident Lifecycle Policy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We have outlined below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structured eight-phase incident management lifecycle, complemented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operational triggers, policies, and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Eight Phases of Incident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initial phase where an anomaly or potential issue is identified.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can originate from various 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alerts: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Automated systems flagging deviations from baseline performance or predefined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reports: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Users directly reporting service degradation or outages.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escalations: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Team members or other departments raising concerns about system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detections: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Identification of suspicious activities or potential breaches.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Triage: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Upon detection, the incident is assessed to understand its immediate nature, scope, and potential severity.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phase involves initial data gathering and categorization.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Declared: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Once an issue is confirmed as an incident, it is formally declared, initiating the structured response process.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includes assigning a unique ID and initial severity.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primary objective of this phase is to contain the incident and minimize its impact.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may involve temporary workarounds, disabling problematic features, or rerouting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Focuses on restoring the affected service or system to its normal operational state.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could involve deploying fixes, restarting services, or rolling back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After recovery, thorough testing and monitoring are conducted to confirm that the service is fully restored and stable, and that the root cause has been addressed.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Closure: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Once verification is complete and all immediate concerns are resolved, the incident is formally closed.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Post-Incident Review (PIR):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critical retrospective phase to analyze the incident, identify root causes, document lessons learned, and implement preventative measures to avoid recurrence.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Operational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specific events or conditions that initiate the incident management process,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alerts from various observability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customer reports received via support channels.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escalations from different teams or individuals.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detections from intrusion detection systems, SIEMs, or other security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Time-to-Acknowledgement (Time-to-Ack):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crucial metric defining the maximum allowable time for an on-call engineer or designated responder to acknowledge an incident after it has been triggered.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explicitly defined and governed by the organization's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On-Call &amp; Escalation Policy (Section 6)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which outlines specific service level objectives (SLOs) and escalation paths based on incident severity.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Record: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Every incident, regardless of its severity or duration, must be meticulously documented.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record serves as a comprehensive historical account and includes essential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 ID: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distinct identifier for tracking and referencing the incident.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classification (e.g., Critical, High, Medium, Low) based on impact and urgency, guiding response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exact timestamp when the incident was first detected or reported.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individual or team responsible for leading the incident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chronological log of all significant events, actions taken, and communications during the incident.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detailed description of the affected services, users, and business implications.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record of all mitigation, recovery, and verification steps taken.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Effective and timely communication is paramount throughout the incident lifecycle.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frequency, audience, and content of communications are governed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incident management policy, which defines communication cadences for different stakeholders (e.g., internal teams, leadership, customers) based on incident severity and impact.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ensures transparency and keeps all relevant parties informed of the situation and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Closure Criteria: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Clearly defined conditions that must be met before an incident can be officially closed.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criteria typically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restored or risk mitigated: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primary issue has been resolved, and normal operations have resumed or the identified risk has been effectively managed.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Agreed verification: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stakeholders have confirmed that the resolution is satisfactory and the service is 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Communications sent: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necessary internal and external communications regarding the resolution have been disseminated.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Follow-ups captured: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Any identified follow-up actions, such as post-incident review scheduling, documentation updates, or preventative measures, have been recorded and assigned.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xtv24c9n1e6w" w:id="12"/>
      <w:bookmarkEnd w:id="12"/>
      <w:r w:rsidDel="00000000" w:rsidR="00000000" w:rsidRPr="00000000">
        <w:rPr>
          <w:rtl w:val="0"/>
        </w:rPr>
        <w:t xml:space="preserve">Severity &amp; Priority Classification Policy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op7z8b3v4p4n" w:id="13"/>
      <w:bookmarkEnd w:id="13"/>
      <w:r w:rsidDel="00000000" w:rsidR="00000000" w:rsidRPr="00000000">
        <w:rPr>
          <w:rtl w:val="0"/>
        </w:rPr>
        <w:t xml:space="preserve">Severity levels (example; tune to org):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Critical: Full outage or critical function broken for majority of users; severe data loss or legal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High: Major impairment with significant user impact or SLA breach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Medium: Partial degradation or limited user cohort impact with workaround.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Low: Minor degradation or intermittent issues, no SLA risk.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semnt9ce4d2h" w:id="14"/>
      <w:bookmarkEnd w:id="14"/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vs. Priority: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Severity reflects business impact, while priority determines resource allocation.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Managers can adjust these as impact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Level Agreements (SLAs):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Section 17 details default SLAs for response, communication, mitigation, and resolution.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teams can implement stricter SLAs.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Routing: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Severity 1 and 2 incidents immediately page On-Call and Incident Managers.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3 and 4 incidents are routed to appropriate queues with defined response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bexu22go0lc8" w:id="15"/>
      <w:bookmarkEnd w:id="15"/>
      <w:r w:rsidDel="00000000" w:rsidR="00000000" w:rsidRPr="00000000">
        <w:rPr>
          <w:rtl w:val="0"/>
        </w:rPr>
        <w:t xml:space="preserve">On‑Call &amp; Escalation Policy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24/7 for production, with a preference for follow-the-sun scheduling.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Schedules are available in the paging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Acknowledgement Times: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Sev-1: Within 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Sev-2: Within 10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Sev-3: Within 30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Sev-4: Within 8 business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Handoffs: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Utilize a written shift handoff checklist and provide status updates in the incident channel.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an alert remains unacknowledged by its timeout, the next layer will be automatically paged and messaged.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major incidents (MI), notify the EDO.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Paging Hygiene: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alerts must be actionable, deduplicated, and include links to relevant runbooks (refer to Section 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56fa3vc1wt8c" w:id="16"/>
      <w:bookmarkEnd w:id="16"/>
      <w:r w:rsidDel="00000000" w:rsidR="00000000" w:rsidRPr="00000000">
        <w:rPr>
          <w:rtl w:val="0"/>
        </w:rPr>
        <w:t xml:space="preserve">Major Incident Management (MIM)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protocol is activated by any Sev-1 incident, significant revenue or regulatory risks, widespread customer impact, or direct executive concern.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 Room: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Upon activation, the Incident Manager (IM) will open a dedicated communication channel and bridge.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relevant personnel must join within 10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 Roles: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Key roles include the Incident Manager (IM), Technical Lead (TL), Communications Lead (CL), Security Lead (SL—if security-related), and a Scribe.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Cadence: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Status updates are required every 15 minutes for Sev-1 incidents and every 30 minutes for Sev-2 incidents until stability is achieved.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Controls: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Emergency changes are permitted with IM approval and a verified implementation plan (refer to Section 20 for details).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Executive Duty Officer (EDO) and critical partners are to be informed early in the process.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and Public Relations teams should be looped in for any external communications.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bookmarkStart w:colFirst="0" w:colLast="0" w:name="_hm8adpgl9bs2" w:id="17"/>
      <w:bookmarkEnd w:id="17"/>
      <w:r w:rsidDel="00000000" w:rsidR="00000000" w:rsidRPr="00000000">
        <w:rPr>
          <w:rtl w:val="0"/>
        </w:rPr>
        <w:t xml:space="preserve">Incident Communication Policy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Communication: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 the dedicated incident channel.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concise updates including impact, scope, estimated time of arrival (ETA), next steps, and assigned owners.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Communication: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 to Section 22 guidelines for status page and customer communications.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all information is factual and time-boxed, avoiding speculation.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Cadence: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1 (Sev-1):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Every 30 minutes externally.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2 (Sev-2):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Hourly.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3 (Sev-3):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material updates become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Source of Truth: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incident ticket timeline serves as the primary source of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 (Communication Lead) is responsible for mirroring updates to the status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Spokespersons: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designated CL, PR (Public Relations), or Legal personnel are authorized to communicate externally.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dc851hj7s8x" w:id="18"/>
      <w:bookmarkEnd w:id="18"/>
      <w:r w:rsidDel="00000000" w:rsidR="00000000" w:rsidRPr="00000000">
        <w:rPr>
          <w:rtl w:val="0"/>
        </w:rPr>
        <w:t xml:space="preserve">Post‑Incident Review (PIR) / RCA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Blameless: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Focus on system issues, not individual 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Systems-focused: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Analyze the entire system for contributing factors.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Actionable: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Generate concrete, testable actions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Sev-1/2 incidents and security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Sev-3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3 business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10 business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 of the incident.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timeline of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Contributing factors.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causes (e.g., using the 5-Whys method).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Detection gaps.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worked well and what did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Actionable items with assigned owners and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Bar: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 must be clear and testable, avoiding vague statements.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all reversible learnings.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bookmarkStart w:colFirst="0" w:colLast="0" w:name="_435u0nfpbjhq" w:id="19"/>
      <w:bookmarkEnd w:id="19"/>
      <w:r w:rsidDel="00000000" w:rsidR="00000000" w:rsidRPr="00000000">
        <w:rPr>
          <w:rtl w:val="0"/>
        </w:rPr>
        <w:t xml:space="preserve">Problem Management Policy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reduce incident volume and severity by eliminating their root causes.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Records: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Generated when recurring incident patterns are identified, and linked to relevant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Backlog Review: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Monthly triage sessions conducted with SRE, Security, and product teams to review and prioritize problem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Decrease in repeat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Resolution of high-priority problem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bza9cj7z2n3" w:id="20"/>
      <w:bookmarkEnd w:id="20"/>
      <w:r w:rsidDel="00000000" w:rsidR="00000000" w:rsidRPr="00000000">
        <w:rPr>
          <w:rtl w:val="0"/>
        </w:rPr>
        <w:t xml:space="preserve">Security Incident Response Policy (CSIRT)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plan covers events impacting confidentiality, integrity, or availability, including malware, suspected account compromise, and unauthorized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Follow these steps: Identification, Containment, Eradication, Recovery, and Lessons Learned.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Crucially, preserve all logs, snapshots, and artifacts in accordance with the Forensics SOP (Section 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Isolation: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 containment measures that do not destroy evidence, and coordinate closely with Security Leadership (SL).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Involve Legal at the earliest stage and consider engaging law enforcement when appropriate.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u2ywfru39tza" w:id="21"/>
      <w:bookmarkEnd w:id="21"/>
      <w:r w:rsidDel="00000000" w:rsidR="00000000" w:rsidRPr="00000000">
        <w:rPr>
          <w:rtl w:val="0"/>
        </w:rPr>
        <w:t xml:space="preserve">Data Breach &amp; Notification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security incident leading to the unlawful or accidental destruction, loss, alteration, or disclosure of personal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 the scope of the breach.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 legal counsel.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 necessary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with relevant stakeholders, including Compliance &amp; Legal (CL) and the Executive Data Office (EDO).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Adhere to regulatory notification windows (e.g., GDPR's 72 hours from awareness).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timely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Maintain comprehensive evidence of all assessments, decisions, and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rPr/>
      </w:pPr>
      <w:bookmarkStart w:colFirst="0" w:colLast="0" w:name="_8v3oi0j7qlv6" w:id="22"/>
      <w:bookmarkEnd w:id="22"/>
      <w:r w:rsidDel="00000000" w:rsidR="00000000" w:rsidRPr="00000000">
        <w:rPr>
          <w:rtl w:val="0"/>
        </w:rPr>
        <w:t xml:space="preserve">Business Continuity &amp; Disaster Recovery (BCP/DR)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Time Objective (RTO) / Recovery Point Objective (RPO):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These are defined according to the tiered service catalog and must be explicitly documented and regularly tested.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 multi-AZ/region configurations, database replication, and warm/cold standby solutions as appropriate.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Exercises: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Conduct disaster recovery exercises at least semi-annually, tracking outcomes and implementing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Response: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During incidents, Incident Management (IM) may activate Business Continuity Plan (BCP)/Disaster Recovery (DR) measures based on pre-approved runbooks.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/>
      </w:pPr>
      <w:bookmarkStart w:colFirst="0" w:colLast="0" w:name="_i8tiwhuwh6r0" w:id="23"/>
      <w:bookmarkEnd w:id="23"/>
      <w:r w:rsidDel="00000000" w:rsidR="00000000" w:rsidRPr="00000000">
        <w:rPr>
          <w:rtl w:val="0"/>
        </w:rPr>
        <w:t xml:space="preserve">Forensics &amp; Evidence Handling SOP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 of Custody: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Appoint an evidence custodian and maintain a comprehensive log of all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Acquisition: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Capture snapshots of virtual machines and containers, export relevant logs, and preserve volatile data whenever feasible.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Integrity: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Employ hashing techniques as appropriate and store all evidence in a restricted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Tooling: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Utilize only approved tools as maintained by the Security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rPr/>
      </w:pPr>
      <w:bookmarkStart w:colFirst="0" w:colLast="0" w:name="_efeye1nyh8u6" w:id="24"/>
      <w:bookmarkEnd w:id="24"/>
      <w:r w:rsidDel="00000000" w:rsidR="00000000" w:rsidRPr="00000000">
        <w:rPr>
          <w:rtl w:val="0"/>
        </w:rPr>
        <w:t xml:space="preserve">Access Control During Incidents (Break‑Glass)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Access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Granting Access: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Emergency access is provided through "break-glass" roles with temporary, time-boxed elevation.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High-risk access requires approval from either IM + SL (for security) or EDO.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actions performed under elevated access are logged and subsequently reviewed in the Post-Incident Review (PIR).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Revocation: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Access automatically expires and is manually confirmed upon 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/>
      </w:pPr>
      <w:bookmarkStart w:colFirst="0" w:colLast="0" w:name="_uv0qyqrj1k0x" w:id="25"/>
      <w:bookmarkEnd w:id="25"/>
      <w:r w:rsidDel="00000000" w:rsidR="00000000" w:rsidRPr="00000000">
        <w:rPr>
          <w:rtl w:val="0"/>
        </w:rPr>
        <w:t xml:space="preserve">Monitoring, Alerting &amp; SLO Policy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Golden Signals: Latency, traffic, errors, saturation; plus business KPIs.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Alert Quality: Actionable, deduped, with runbook link and owner.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SLOs: Defined per service; error budgets govern change velocity.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Paging Thresholds: Tied to SLO burn rate and user impact.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rPr/>
      </w:pPr>
      <w:bookmarkStart w:colFirst="0" w:colLast="0" w:name="_uyxdtrorgo4" w:id="26"/>
      <w:bookmarkEnd w:id="26"/>
      <w:r w:rsidDel="00000000" w:rsidR="00000000" w:rsidRPr="00000000">
        <w:rPr>
          <w:rtl w:val="0"/>
        </w:rPr>
        <w:t xml:space="preserve">Review Cadence &amp; Audits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Policy Reviews: Semiannual for this handbook; quarterly for MIM, PIR, and comms policies.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Drill Cadence: Quarterly major incident simulations; semiannual DR exercises.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Evidence: Maintain records of reviews, drills, and outcomes.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rPr/>
      </w:pPr>
      <w:bookmarkStart w:colFirst="0" w:colLast="0" w:name="_z8is1k58t8pv" w:id="27"/>
      <w:bookmarkEnd w:id="27"/>
      <w:r w:rsidDel="00000000" w:rsidR="00000000" w:rsidRPr="00000000">
        <w:rPr>
          <w:rtl w:val="0"/>
        </w:rPr>
        <w:t xml:space="preserve">Backup &amp; Restore Policy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Coverage: All stateful systems; document exclusions and rationale.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Frequency: Based on data criticality; minimum daily for customer data.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Encryption: In transit and at rest with key management.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Restore Testing: Quarterly sample restores; report success rate.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rPr/>
      </w:pPr>
      <w:bookmarkStart w:colFirst="0" w:colLast="0" w:name="_o0j0t0y8qrrk" w:id="28"/>
      <w:bookmarkEnd w:id="28"/>
      <w:r w:rsidDel="00000000" w:rsidR="00000000" w:rsidRPr="00000000">
        <w:rPr>
          <w:rtl w:val="0"/>
        </w:rPr>
        <w:t xml:space="preserve">Release, Rollback &amp; Hotfix Policy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Guardrails: During incidents, only changes that mitigate risk are allowed.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Approvals: IM approval; for security or compliance risk, include SL and Legal if needed.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Verification: Post‑change smoke tests and monitoring checks.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Rollback: Prefer safe rollback or feature flag disable over risky forward‑fix.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/>
      </w:pPr>
      <w:bookmarkStart w:colFirst="0" w:colLast="0" w:name="_omr9sjprf094" w:id="29"/>
      <w:bookmarkEnd w:id="29"/>
      <w:r w:rsidDel="00000000" w:rsidR="00000000" w:rsidRPr="00000000">
        <w:rPr>
          <w:rtl w:val="0"/>
        </w:rPr>
        <w:t xml:space="preserve">Feature Flag &amp; Kill‑Switch Policy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Authority: TL/IM may disable features to mitigate impact.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Audit: All toggles recorded with issue ID and reason.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Safety: Design flags to fail safe and be reversible.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rPr/>
      </w:pPr>
      <w:bookmarkStart w:colFirst="0" w:colLast="0" w:name="_j7cpt6ddgazu" w:id="30"/>
      <w:bookmarkEnd w:id="30"/>
      <w:r w:rsidDel="00000000" w:rsidR="00000000" w:rsidRPr="00000000">
        <w:rPr>
          <w:rtl w:val="0"/>
        </w:rPr>
        <w:t xml:space="preserve">Status Page &amp; Public Communications Guidelines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Categories: Identify components and incident types clearly.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Tone: Clear, factual, empathetic; avoid root cause speculation while ongoing.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Updates: Follow cadence in Section 8; include next update ETA.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RCA Publication: Publish summary RCAs for Sev‑1 within 10 business days unless Legal advises otherwise.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rPr/>
      </w:pPr>
      <w:bookmarkStart w:colFirst="0" w:colLast="0" w:name="_ktcashxk1kp1" w:id="31"/>
      <w:bookmarkEnd w:id="31"/>
      <w:r w:rsidDel="00000000" w:rsidR="00000000" w:rsidRPr="00000000">
        <w:rPr>
          <w:rtl w:val="0"/>
        </w:rPr>
        <w:t xml:space="preserve">Third‑Party/Vendor Escalation Policy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Contacts: Maintain vendor contact roster with SLAs and escalation paths.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Joint War Rooms: Invite vendor responders; align on single IM.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Data to Provide: Impact, timestamps, error IDs, correlation IDs, environment.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Contracts: Track credits/penalties related to incidents.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rPr/>
      </w:pPr>
      <w:bookmarkStart w:colFirst="0" w:colLast="0" w:name="_trqt1thlsmq0" w:id="32"/>
      <w:bookmarkEnd w:id="32"/>
      <w:r w:rsidDel="00000000" w:rsidR="00000000" w:rsidRPr="00000000">
        <w:rPr>
          <w:rtl w:val="0"/>
        </w:rPr>
        <w:t xml:space="preserve">Incident Data &amp; Metrics Policy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Taxonomy: Standard tags (service, component, root cause category, customer impact, security).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Metrics: MTTA, MTTR, incidents by severity, repeat rate, SLO burn, alert quality.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Dashboards: Exec, team, and service‑level views; monthly reviews.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rPr/>
      </w:pPr>
      <w:bookmarkStart w:colFirst="0" w:colLast="0" w:name="_d0yenjcyvmgm" w:id="33"/>
      <w:bookmarkEnd w:id="33"/>
      <w:r w:rsidDel="00000000" w:rsidR="00000000" w:rsidRPr="00000000">
        <w:rPr>
          <w:rtl w:val="0"/>
        </w:rPr>
        <w:t xml:space="preserve">Role Definitions &amp; Training Policy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Role Clarity: IM, TL, CL, SL, Scribe, On‑Call expectations documented.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Training: Annual certification for IM/CL; quarterly tabletop exercises for all responders.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Access: Ensure responders have necessary tool access and permissions.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rPr/>
      </w:pPr>
      <w:bookmarkStart w:colFirst="0" w:colLast="0" w:name="_u6ichlt7jtuz" w:id="34"/>
      <w:bookmarkEnd w:id="34"/>
      <w:r w:rsidDel="00000000" w:rsidR="00000000" w:rsidRPr="00000000">
        <w:rPr>
          <w:rtl w:val="0"/>
        </w:rPr>
        <w:t xml:space="preserve">Blameless Culture &amp; Psychological Safety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Expectations: Respectful communication, curiosity over judgment, focus on systemic fixes.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Protections: No punitive actions for good‑faith actions within policy.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Reinforcement: Leaders model blameless behavior in PIRs.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rPr/>
      </w:pPr>
      <w:bookmarkStart w:colFirst="0" w:colLast="0" w:name="_obvjz2khhs2m" w:id="35"/>
      <w:bookmarkEnd w:id="35"/>
      <w:r w:rsidDel="00000000" w:rsidR="00000000" w:rsidRPr="00000000">
        <w:rPr>
          <w:rtl w:val="0"/>
        </w:rPr>
        <w:t xml:space="preserve">Risk Acceptance &amp; Exception Policy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Use Case: When controls cannot be immediately met (e.g., deferred fixes).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Process: Document risk, compensating controls, approver, and expiry date.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Tracking: Exceptions reviewed monthly; expired items trigger escalation.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rPr/>
      </w:pPr>
      <w:bookmarkStart w:colFirst="0" w:colLast="0" w:name="_rmud5rtti71i" w:id="36"/>
      <w:bookmarkEnd w:id="36"/>
      <w:r w:rsidDel="00000000" w:rsidR="00000000" w:rsidRPr="00000000">
        <w:rPr>
          <w:rtl w:val="0"/>
        </w:rPr>
        <w:t xml:space="preserve">Tooling Standards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Paging/IM Tool: Declared source of truth for incidents and schedules.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Chat/War Room: Standard real‑time collaboration channel with integrations.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Ticketing: Incidents and problems tracked; templates enforced.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Observability: Standard metrics, logs, traces, and dashboards.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rPr/>
      </w:pPr>
      <w:bookmarkStart w:colFirst="0" w:colLast="0" w:name="_z2ik97h3itke" w:id="37"/>
      <w:bookmarkEnd w:id="37"/>
      <w:r w:rsidDel="00000000" w:rsidR="00000000" w:rsidRPr="00000000">
        <w:rPr>
          <w:rtl w:val="0"/>
        </w:rPr>
        <w:t xml:space="preserve">Appendices &amp; Templates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kv68rufmb458" w:id="38"/>
      <w:bookmarkEnd w:id="38"/>
      <w:r w:rsidDel="00000000" w:rsidR="00000000" w:rsidRPr="00000000">
        <w:rPr>
          <w:rtl w:val="0"/>
        </w:rPr>
        <w:t xml:space="preserve">Incident Declaration Template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Title: [YYYY‑MM‑DD] [Sev] [Service] brief summary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Impact: Who/what is affected; user journeys; start time; scope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Current Status: Symptoms, workarounds, hypothesis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Severity: Sev‑X, justification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Leads: IM, TL, CL, SL (if applicable)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Next Update: ETA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Links: Ticket, dashboards, runbooks, status page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bookmarkStart w:colFirst="0" w:colLast="0" w:name="_my65y8yjvva" w:id="39"/>
      <w:bookmarkEnd w:id="39"/>
      <w:r w:rsidDel="00000000" w:rsidR="00000000" w:rsidRPr="00000000">
        <w:rPr>
          <w:rtl w:val="0"/>
        </w:rPr>
        <w:t xml:space="preserve">Internal Update Template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Impact summary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What changed since last update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Current mitigation and risks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ETA for next milestone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Next update time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rhkdajtg3l3g" w:id="40"/>
      <w:bookmarkEnd w:id="40"/>
      <w:r w:rsidDel="00000000" w:rsidR="00000000" w:rsidRPr="00000000">
        <w:rPr>
          <w:rtl w:val="0"/>
        </w:rPr>
        <w:t xml:space="preserve">External Status Page Template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We are investigating an issue affecting [components]. Users may experience [symptoms]. We will provide an update by [time].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7bs5wd5o0qf6" w:id="41"/>
      <w:bookmarkEnd w:id="41"/>
      <w:r w:rsidDel="00000000" w:rsidR="00000000" w:rsidRPr="00000000">
        <w:rPr>
          <w:rtl w:val="0"/>
        </w:rPr>
        <w:t xml:space="preserve">Post‑Incident Review Template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Summary: What happened, impact, duration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Timeline: Key events with timestamps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Contributing Factors: Technical and organizational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Root Causes: Analysis (5‑Whys, fault tree, etc.)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What Worked / What Didn’t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Detection &amp; Response Gaps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Actions: Owner, priority, due date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Verification: How we will verify effectiveness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bookmarkStart w:colFirst="0" w:colLast="0" w:name="_6w00ck3dms12" w:id="42"/>
      <w:bookmarkEnd w:id="42"/>
      <w:r w:rsidDel="00000000" w:rsidR="00000000" w:rsidRPr="00000000">
        <w:rPr>
          <w:rtl w:val="0"/>
        </w:rPr>
        <w:t xml:space="preserve">SLA/SLO Reference (Example)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Response (Ack): Sev‑1 5m; Sev‑2 10m; Sev‑3 30m; Sev‑4 8h (business)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Comms Cadence: Sev‑1 30m; Sev‑2 60m; Sev‑3 material updates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Mitigation Target: Sev‑1 60m; Sev‑2 4h; Sev‑3 1 business day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616ffw4d04wc" w:id="43"/>
      <w:bookmarkEnd w:id="43"/>
      <w:r w:rsidDel="00000000" w:rsidR="00000000" w:rsidRPr="00000000">
        <w:rPr>
          <w:rtl w:val="0"/>
        </w:rPr>
        <w:t xml:space="preserve">Contact &amp; Escalation Directory (Placeholder)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On‑Call Rotations: Links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Executives: EDO contacts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Vendors: Names, SLAs, escalation levels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rPr/>
      </w:pPr>
      <w:bookmarkStart w:colFirst="0" w:colLast="0" w:name="_7py4wdet0bp2" w:id="44"/>
      <w:bookmarkEnd w:id="44"/>
      <w:r w:rsidDel="00000000" w:rsidR="00000000" w:rsidRPr="00000000">
        <w:rPr>
          <w:rtl w:val="0"/>
        </w:rPr>
        <w:t xml:space="preserve">Glossary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Here are some key terms and definitions related to incident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Incident: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Any unplanned event that causes an interruption, degradation, or loss of quality in service for users or business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Major Incident (MI):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 high-impact incident that meets specific triggers outlined in Section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Security Incident: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 confirmed or suspected breach of confidentiality, integrity, or availability (see Section 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Data Breach: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 type of security incident specifically involving personal or sensitive data that necessitates notification (refer to Section 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MTTA (Mean Time To Acknowledge):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The average time taken to acknowledge an incident.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MTTR (Mean Time To Restore):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The average time taken to restore service or mitigate the impact of an incident.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RTO / RPO (Recovery Time / Recovery Point Objectives):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Targets for how quickly systems must be restored and how much data loss is acceptable, respectively (further details in Section 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RACI: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An acronym standing for Responsible, Accountable, Consulted, and Informed, used to define roles and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tem5otgtv214" w:id="45"/>
      <w:bookmarkEnd w:id="45"/>
      <w:r w:rsidDel="00000000" w:rsidR="00000000" w:rsidRPr="00000000">
        <w:rPr>
          <w:rtl w:val="0"/>
        </w:rPr>
        <w:t xml:space="preserve">Compliance &amp; Recordkeeping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Retention: Incident records, PIRs, and evidence kept per regulatory requirements.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Access: Restricted to need‑to‑know; audit logs enabled.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Audits: Periodic internal audits validate adherence to policy and procedures.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f1f1f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80" w:lineRule="auto"/>
      <w:ind w:left="0"/>
    </w:pPr>
    <w:rPr>
      <w:rFonts w:ascii="Roboto Medium" w:cs="Roboto Medium" w:eastAsia="Roboto Medium" w:hAnsi="Roboto Medium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20" w:lineRule="auto"/>
    </w:pPr>
    <w:rPr>
      <w:rFonts w:ascii="Roboto Medium" w:cs="Roboto Medium" w:eastAsia="Roboto Medium" w:hAnsi="Roboto Medium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0"/>
    </w:pPr>
    <w:rPr>
      <w:rFonts w:ascii="Roboto Medium" w:cs="Roboto Medium" w:eastAsia="Roboto Medium" w:hAnsi="Roboto Medium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360" w:line="240" w:lineRule="auto"/>
      <w:ind w:left="0"/>
    </w:pPr>
    <w:rPr>
      <w:rFonts w:ascii="Roboto Medium" w:cs="Roboto Medium" w:eastAsia="Roboto Medium" w:hAnsi="Roboto Medium"/>
    </w:rPr>
  </w:style>
  <w:style w:type="paragraph" w:styleId="Heading5">
    <w:name w:val="heading 5"/>
    <w:basedOn w:val="Normal"/>
    <w:next w:val="Normal"/>
    <w:pPr>
      <w:keepNext w:val="1"/>
      <w:keepLines w:val="1"/>
      <w:spacing w:after="120" w:before="320" w:line="240" w:lineRule="auto"/>
      <w:ind w:left="0"/>
    </w:pPr>
    <w:rPr>
      <w:rFonts w:ascii="Roboto Medium" w:cs="Roboto Medium" w:eastAsia="Roboto Medium" w:hAnsi="Roboto Medium"/>
      <w:i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120" w:before="320" w:line="240" w:lineRule="auto"/>
      <w:ind w:left="0"/>
    </w:pPr>
    <w:rPr/>
  </w:style>
  <w:style w:type="paragraph" w:styleId="Title">
    <w:name w:val="Title"/>
    <w:basedOn w:val="Normal"/>
    <w:next w:val="Normal"/>
    <w:pPr>
      <w:keepNext w:val="1"/>
      <w:keepLines w:val="1"/>
      <w:spacing w:line="216" w:lineRule="auto"/>
      <w:ind w:left="0"/>
    </w:pPr>
    <w:rPr>
      <w:rFonts w:ascii="Roboto Medium" w:cs="Roboto Medium" w:eastAsia="Roboto Medium" w:hAnsi="Roboto Medium"/>
      <w:sz w:val="120"/>
      <w:szCs w:val="120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ind w:left="0"/>
    </w:pPr>
    <w:rPr>
      <w:rFonts w:ascii="Roboto Medium" w:cs="Roboto Medium" w:eastAsia="Roboto Medium" w:hAnsi="Roboto Medium"/>
      <w:color w:val="5c5f5e"/>
      <w:sz w:val="72"/>
      <w:szCs w:val="7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