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416"/>
        <w:gridCol w:w="1040"/>
        <w:gridCol w:w="373"/>
        <w:gridCol w:w="1067"/>
        <w:gridCol w:w="129"/>
        <w:gridCol w:w="1581"/>
        <w:gridCol w:w="990"/>
        <w:gridCol w:w="99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96" w:type="dxa"/>
            <w:noWrap w:val="0"/>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3"/>
            <w:noWrap w:val="0"/>
            <w:vAlign w:val="center"/>
          </w:tcPr>
          <w:p>
            <w:pPr>
              <w:spacing w:line="0" w:lineRule="atLeast"/>
              <w:jc w:val="center"/>
              <w:rPr>
                <w:rFonts w:hint="eastAsia" w:eastAsia="楷体_GB2312"/>
                <w:sz w:val="24"/>
              </w:rPr>
            </w:pPr>
            <w:r>
              <w:rPr>
                <w:rFonts w:hint="eastAsia" w:eastAsia="楷体_GB2312"/>
                <w:sz w:val="24"/>
              </w:rPr>
              <w:t>计算机学院</w:t>
            </w:r>
          </w:p>
        </w:tc>
        <w:tc>
          <w:tcPr>
            <w:tcW w:w="1196" w:type="dxa"/>
            <w:gridSpan w:val="2"/>
            <w:noWrap w:val="0"/>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noWrap w:val="0"/>
            <w:vAlign w:val="center"/>
          </w:tcPr>
          <w:p>
            <w:pPr>
              <w:spacing w:line="0" w:lineRule="atLeast"/>
              <w:jc w:val="center"/>
              <w:rPr>
                <w:rFonts w:hint="eastAsia" w:eastAsia="楷体_GB2312"/>
                <w:sz w:val="24"/>
              </w:rPr>
            </w:pPr>
            <w:r>
              <w:rPr>
                <w:rFonts w:hint="default" w:eastAsia="楷体_GB2312"/>
                <w:sz w:val="24"/>
              </w:rPr>
              <w:t>1</w:t>
            </w:r>
            <w:r>
              <w:rPr>
                <w:rFonts w:hint="eastAsia" w:eastAsia="楷体_GB2312"/>
                <w:sz w:val="24"/>
                <w:lang w:eastAsia="zh-CN"/>
              </w:rPr>
              <w:t>9</w:t>
            </w:r>
            <w:r>
              <w:rPr>
                <w:rFonts w:hint="eastAsia" w:eastAsia="楷体_GB2312"/>
                <w:sz w:val="24"/>
                <w:lang w:val="en-US" w:eastAsia="zh-Hans"/>
              </w:rPr>
              <w:t>软件工程</w:t>
            </w:r>
          </w:p>
        </w:tc>
        <w:tc>
          <w:tcPr>
            <w:tcW w:w="990" w:type="dxa"/>
            <w:noWrap w:val="0"/>
            <w:vAlign w:val="center"/>
          </w:tcPr>
          <w:p>
            <w:pPr>
              <w:spacing w:line="0" w:lineRule="atLeast"/>
              <w:jc w:val="center"/>
              <w:rPr>
                <w:rFonts w:hint="eastAsia" w:eastAsia="楷体_GB2312"/>
                <w:sz w:val="24"/>
              </w:rPr>
            </w:pPr>
            <w:r>
              <w:rPr>
                <w:rFonts w:hint="eastAsia" w:eastAsia="楷体_GB2312"/>
                <w:kern w:val="0"/>
                <w:sz w:val="24"/>
              </w:rPr>
              <w:t>姓名</w:t>
            </w:r>
          </w:p>
        </w:tc>
        <w:tc>
          <w:tcPr>
            <w:tcW w:w="990" w:type="dxa"/>
            <w:noWrap w:val="0"/>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邵祺文</w:t>
            </w:r>
          </w:p>
        </w:tc>
        <w:tc>
          <w:tcPr>
            <w:tcW w:w="720" w:type="dxa"/>
            <w:noWrap w:val="0"/>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noWrap w:val="0"/>
            <w:vAlign w:val="center"/>
          </w:tcPr>
          <w:p>
            <w:pPr>
              <w:spacing w:line="0" w:lineRule="atLeast"/>
              <w:jc w:val="center"/>
              <w:rPr>
                <w:rFonts w:hint="eastAsia" w:eastAsia="楷体_GB2312"/>
                <w:sz w:val="24"/>
                <w:lang w:eastAsia="zh-CN"/>
              </w:rPr>
            </w:pPr>
            <w:r>
              <w:rPr>
                <w:rFonts w:hint="eastAsia" w:eastAsia="楷体_GB2312"/>
                <w:sz w:val="24"/>
                <w:lang w:eastAsia="zh-CN"/>
              </w:rPr>
              <w:t>1927406014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12" w:type="dxa"/>
            <w:gridSpan w:val="2"/>
            <w:noWrap w:val="0"/>
            <w:vAlign w:val="center"/>
          </w:tcPr>
          <w:p>
            <w:pPr>
              <w:spacing w:line="0" w:lineRule="atLeast"/>
              <w:jc w:val="center"/>
              <w:rPr>
                <w:rFonts w:hint="eastAsia" w:eastAsia="楷体_GB2312"/>
                <w:sz w:val="24"/>
              </w:rPr>
            </w:pPr>
            <w:r>
              <w:rPr>
                <w:rFonts w:hint="eastAsia" w:eastAsia="楷体_GB2312"/>
                <w:kern w:val="0"/>
                <w:sz w:val="24"/>
              </w:rPr>
              <w:t>课程名称</w:t>
            </w:r>
          </w:p>
        </w:tc>
        <w:tc>
          <w:tcPr>
            <w:tcW w:w="6170" w:type="dxa"/>
            <w:gridSpan w:val="7"/>
            <w:noWrap w:val="0"/>
            <w:vAlign w:val="center"/>
          </w:tcPr>
          <w:p>
            <w:pPr>
              <w:spacing w:line="0" w:lineRule="atLeast"/>
              <w:jc w:val="center"/>
              <w:rPr>
                <w:rFonts w:hint="eastAsia" w:eastAsia="楷体_GB2312"/>
                <w:sz w:val="24"/>
                <w:lang w:val="en-US" w:eastAsia="zh-Hans"/>
              </w:rPr>
            </w:pPr>
            <w:r>
              <w:rPr>
                <w:rFonts w:hint="eastAsia" w:eastAsia="楷体_GB2312"/>
                <w:sz w:val="24"/>
                <w:lang w:val="en-US" w:eastAsia="zh-Hans"/>
              </w:rPr>
              <w:t>软件项目管理</w:t>
            </w:r>
          </w:p>
        </w:tc>
        <w:tc>
          <w:tcPr>
            <w:tcW w:w="720" w:type="dxa"/>
            <w:noWrap w:val="0"/>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noWrap w:val="0"/>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12" w:type="dxa"/>
            <w:gridSpan w:val="2"/>
            <w:noWrap w:val="0"/>
            <w:vAlign w:val="center"/>
          </w:tcPr>
          <w:p>
            <w:pPr>
              <w:spacing w:line="0" w:lineRule="atLeast"/>
              <w:jc w:val="center"/>
              <w:rPr>
                <w:rFonts w:hint="eastAsia" w:eastAsia="楷体_GB2312"/>
                <w:sz w:val="24"/>
              </w:rPr>
            </w:pPr>
            <w:r>
              <w:rPr>
                <w:rFonts w:hint="eastAsia" w:eastAsia="楷体_GB2312"/>
                <w:kern w:val="0"/>
                <w:sz w:val="24"/>
              </w:rPr>
              <w:t>指导教师</w:t>
            </w:r>
          </w:p>
        </w:tc>
        <w:tc>
          <w:tcPr>
            <w:tcW w:w="1040" w:type="dxa"/>
            <w:noWrap w:val="0"/>
            <w:vAlign w:val="center"/>
          </w:tcPr>
          <w:p>
            <w:pPr>
              <w:spacing w:line="0" w:lineRule="atLeast"/>
              <w:jc w:val="center"/>
              <w:rPr>
                <w:rFonts w:hint="eastAsia" w:eastAsia="楷体_GB2312"/>
                <w:sz w:val="24"/>
                <w:lang w:val="en-US" w:eastAsia="zh-Hans"/>
              </w:rPr>
            </w:pPr>
            <w:r>
              <w:rPr>
                <w:rFonts w:hint="eastAsia" w:eastAsia="楷体_GB2312"/>
                <w:sz w:val="24"/>
                <w:lang w:val="en-US" w:eastAsia="zh-Hans"/>
              </w:rPr>
              <w:t>朱斐</w:t>
            </w:r>
          </w:p>
        </w:tc>
        <w:tc>
          <w:tcPr>
            <w:tcW w:w="1440" w:type="dxa"/>
            <w:gridSpan w:val="2"/>
            <w:noWrap w:val="0"/>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2700" w:type="dxa"/>
            <w:gridSpan w:val="3"/>
            <w:noWrap w:val="0"/>
            <w:vAlign w:val="center"/>
          </w:tcPr>
          <w:p>
            <w:pPr>
              <w:spacing w:line="0" w:lineRule="atLeast"/>
              <w:jc w:val="both"/>
              <w:rPr>
                <w:rFonts w:hint="eastAsia" w:eastAsia="楷体_GB2312"/>
                <w:sz w:val="24"/>
                <w:lang w:val="en-US" w:eastAsia="zh-CN"/>
              </w:rPr>
            </w:pPr>
            <w:r>
              <w:rPr>
                <w:rFonts w:hint="eastAsia" w:eastAsia="楷体_GB2312"/>
                <w:sz w:val="24"/>
                <w:lang w:val="en-US" w:eastAsia="zh-CN"/>
              </w:rPr>
              <w:t>邵祺文、高颖杰、缪睿昕</w:t>
            </w:r>
          </w:p>
        </w:tc>
        <w:tc>
          <w:tcPr>
            <w:tcW w:w="990" w:type="dxa"/>
            <w:noWrap w:val="0"/>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noWrap w:val="0"/>
            <w:vAlign w:val="center"/>
          </w:tcPr>
          <w:p>
            <w:pPr>
              <w:spacing w:line="0" w:lineRule="atLeast"/>
              <w:jc w:val="center"/>
              <w:rPr>
                <w:rFonts w:hint="default" w:eastAsia="楷体_GB2312"/>
                <w:sz w:val="24"/>
                <w:lang w:val="en-US"/>
              </w:rPr>
            </w:pPr>
            <w:r>
              <w:rPr>
                <w:rFonts w:hint="default" w:eastAsia="楷体_GB2312"/>
                <w:sz w:val="24"/>
              </w:rPr>
              <w:t>202</w:t>
            </w:r>
            <w:r>
              <w:rPr>
                <w:rFonts w:hint="eastAsia" w:eastAsia="楷体_GB2312"/>
                <w:sz w:val="24"/>
                <w:lang w:eastAsia="zh-CN"/>
              </w:rPr>
              <w:t>2.</w:t>
            </w:r>
            <w:r>
              <w:rPr>
                <w:rFonts w:hint="eastAsia" w:eastAsia="楷体_GB2312"/>
                <w:sz w:val="24"/>
                <w:lang w:val="en-US" w:eastAsia="zh-CN"/>
              </w:rPr>
              <w:t>5</w:t>
            </w:r>
            <w:r>
              <w:rPr>
                <w:rFonts w:hint="eastAsia" w:eastAsia="楷体_GB2312"/>
                <w:sz w:val="24"/>
                <w:lang w:eastAsia="zh-CN"/>
              </w:rPr>
              <w:t>.</w:t>
            </w:r>
            <w:r>
              <w:rPr>
                <w:rFonts w:hint="eastAsia" w:eastAsia="楷体_GB2312"/>
                <w:sz w:val="24"/>
                <w:lang w:val="en-US" w:eastAsia="zh-CN"/>
              </w:rPr>
              <w:t>15</w:t>
            </w:r>
            <w:bookmarkStart w:id="0" w:name="_GoBack"/>
            <w:bookmarkEnd w:id="0"/>
          </w:p>
        </w:tc>
      </w:tr>
    </w:tbl>
    <w:p>
      <w:pPr>
        <w:spacing w:before="100" w:beforeAutospacing="1" w:after="100" w:afterAutospacing="1"/>
        <w:jc w:val="center"/>
        <w:rPr>
          <w:b/>
          <w:bCs/>
          <w:sz w:val="30"/>
        </w:rPr>
        <w:sectPr>
          <w:footerReference r:id="rId3" w:type="default"/>
          <w:footerReference r:id="rId4" w:type="even"/>
          <w:pgSz w:w="11906" w:h="16838"/>
          <w:pgMar w:top="1134" w:right="1304" w:bottom="1134" w:left="1304" w:header="851" w:footer="992" w:gutter="0"/>
          <w:cols w:space="720" w:num="1"/>
          <w:rtlGutter w:val="0"/>
          <w:docGrid w:type="lines" w:linePitch="312" w:charSpace="0"/>
        </w:sectPr>
      </w:pPr>
    </w:p>
    <w:p>
      <w:pPr>
        <w:spacing w:line="0" w:lineRule="atLeast"/>
        <w:jc w:val="center"/>
        <w:rPr>
          <w:rFonts w:hint="eastAsia"/>
          <w:b/>
          <w:bCs/>
          <w:sz w:val="10"/>
        </w:rPr>
      </w:pPr>
      <w:r>
        <w:rPr>
          <w:sz w:val="20"/>
        </w:rPr>
        <mc:AlternateContent>
          <mc:Choice Requires="wps">
            <w:drawing>
              <wp:anchor distT="0" distB="0" distL="114300" distR="114300" simplePos="0" relativeHeight="251659264" behindDoc="1" locked="1" layoutInCell="1" allowOverlap="1">
                <wp:simplePos x="0" y="0"/>
                <wp:positionH relativeFrom="column">
                  <wp:align>center</wp:align>
                </wp:positionH>
                <wp:positionV relativeFrom="page">
                  <wp:posOffset>2168525</wp:posOffset>
                </wp:positionV>
                <wp:extent cx="6131560" cy="7992745"/>
                <wp:effectExtent l="4445" t="4445" r="17145" b="22860"/>
                <wp:wrapNone/>
                <wp:docPr id="1" name="矩形 1"/>
                <wp:cNvGraphicFramePr/>
                <a:graphic xmlns:a="http://schemas.openxmlformats.org/drawingml/2006/main">
                  <a:graphicData uri="http://schemas.microsoft.com/office/word/2010/wordprocessingShape">
                    <wps:wsp>
                      <wps:cNvSpPr/>
                      <wps:spPr>
                        <a:xfrm>
                          <a:off x="0" y="0"/>
                          <a:ext cx="6131560" cy="7992745"/>
                        </a:xfrm>
                        <a:prstGeom prst="rect">
                          <a:avLst/>
                        </a:prstGeom>
                        <a:noFill/>
                        <a:ln w="9525" cap="flat" cmpd="sng">
                          <a:solidFill>
                            <a:srgbClr val="000000"/>
                          </a:solidFill>
                          <a:prstDash val="solid"/>
                          <a:miter/>
                          <a:headEnd type="none" w="med" len="med"/>
                          <a:tailEnd type="none" w="med" len="med"/>
                        </a:ln>
                      </wps:spPr>
                      <wps:txbx>
                        <w:txbxContent>
                          <w:p>
                            <w:pPr>
                              <w:jc w:val="center"/>
                            </w:pPr>
                          </w:p>
                        </w:txbxContent>
                      </wps:txbx>
                      <wps:bodyPr upright="1"/>
                    </wps:wsp>
                  </a:graphicData>
                </a:graphic>
              </wp:anchor>
            </w:drawing>
          </mc:Choice>
          <mc:Fallback>
            <w:pict>
              <v:rect id="_x0000_s1026" o:spid="_x0000_s1026" o:spt="1" style="position:absolute;left:0pt;margin-top:170.75pt;height:629.35pt;width:482.8pt;mso-position-horizontal:center;mso-position-vertical-relative:page;z-index:-251657216;mso-width-relative:page;mso-height-relative:page;" filled="f" stroked="t" coordsize="21600,21600" o:gfxdata="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syXdjXAAAACQEAAA8AAAAAAAAAAQAgAAAAIgAAAGRycy9kb3ducmV2&#10;LnhtbFBLAQIUABQAAAAIAIdO4kA6QgGM/QEAAAEEAAAOAAAAAAAAAAEAIAAAACYBAABkcnMvZTJv&#10;RG9jLnhtbFBLBQYAAAAABgAGAFkBAACVBQAAAAA=&#10;">
                <v:fill on="f" focussize="0,0"/>
                <v:stroke color="#000000" joinstyle="miter"/>
                <v:imagedata o:title=""/>
                <o:lock v:ext="edit" aspectratio="f"/>
                <v:textbox>
                  <w:txbxContent>
                    <w:p>
                      <w:pPr>
                        <w:jc w:val="center"/>
                      </w:pPr>
                    </w:p>
                  </w:txbxContent>
                </v:textbox>
                <w10:anchorlock/>
              </v:rect>
            </w:pict>
          </mc:Fallback>
        </mc:AlternateContent>
      </w:r>
    </w:p>
    <w:tbl>
      <w:tblPr>
        <w:tblStyle w:val="3"/>
        <w:tblW w:w="0" w:type="auto"/>
        <w:jc w:val="center"/>
        <w:tblLayout w:type="fixed"/>
        <w:tblCellMar>
          <w:top w:w="0" w:type="dxa"/>
          <w:left w:w="108" w:type="dxa"/>
          <w:bottom w:w="0" w:type="dxa"/>
          <w:right w:w="108" w:type="dxa"/>
        </w:tblCellMar>
      </w:tblPr>
      <w:tblGrid>
        <w:gridCol w:w="1716"/>
        <w:gridCol w:w="5929"/>
      </w:tblGrid>
      <w:tr>
        <w:tblPrEx>
          <w:tblCellMar>
            <w:top w:w="0" w:type="dxa"/>
            <w:left w:w="108" w:type="dxa"/>
            <w:bottom w:w="0" w:type="dxa"/>
            <w:right w:w="108" w:type="dxa"/>
          </w:tblCellMar>
        </w:tblPrEx>
        <w:trPr>
          <w:jc w:val="center"/>
        </w:trPr>
        <w:tc>
          <w:tcPr>
            <w:tcW w:w="1716" w:type="dxa"/>
            <w:noWrap w:val="0"/>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noWrap w:val="0"/>
            <w:vAlign w:val="bottom"/>
          </w:tcPr>
          <w:p>
            <w:pPr>
              <w:spacing w:beforeLines="50"/>
              <w:jc w:val="center"/>
              <w:rPr>
                <w:rFonts w:hint="default" w:eastAsia="宋体"/>
                <w:sz w:val="24"/>
                <w:lang w:val="en-US" w:eastAsia="zh-CN"/>
              </w:rPr>
            </w:pPr>
            <w:r>
              <w:rPr>
                <w:rFonts w:hint="eastAsia" w:ascii="宋体" w:hAnsi="宋体" w:eastAsia="宋体" w:cs="宋体"/>
                <w:b/>
                <w:color w:val="000000"/>
                <w:kern w:val="0"/>
                <w:sz w:val="30"/>
                <w:szCs w:val="30"/>
                <w:lang w:val="en-US" w:eastAsia="zh-CN" w:bidi="ar"/>
              </w:rPr>
              <w:t>VR 驾驶模拟系统</w:t>
            </w:r>
            <w:r>
              <w:rPr>
                <w:rFonts w:hint="default" w:ascii="宋体" w:hAnsi="宋体" w:eastAsia="宋体" w:cs="宋体"/>
                <w:b/>
                <w:color w:val="000000"/>
                <w:kern w:val="0"/>
                <w:sz w:val="30"/>
                <w:szCs w:val="30"/>
                <w:lang w:eastAsia="zh-CN" w:bidi="ar"/>
              </w:rPr>
              <w:t>——</w:t>
            </w:r>
            <w:r>
              <w:rPr>
                <w:rFonts w:hint="eastAsia" w:ascii="宋体" w:hAnsi="宋体" w:cs="宋体"/>
                <w:b/>
                <w:color w:val="000000"/>
                <w:kern w:val="0"/>
                <w:sz w:val="30"/>
                <w:szCs w:val="30"/>
                <w:lang w:val="en-US" w:eastAsia="zh-CN" w:bidi="ar"/>
              </w:rPr>
              <w:t>成本控制报告</w:t>
            </w:r>
          </w:p>
        </w:tc>
      </w:tr>
    </w:tbl>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ascii="TimesNewRomanPS-BoldMT" w:hAnsi="TimesNewRomanPS-BoldMT" w:eastAsia="TimesNewRomanPS-BoldMT" w:cs="TimesNewRomanPS-BoldMT"/>
          <w:b/>
          <w:color w:val="000000"/>
          <w:kern w:val="0"/>
          <w:sz w:val="36"/>
          <w:szCs w:val="36"/>
          <w:lang w:eastAsia="zh-CN" w:bidi="ar"/>
        </w:rPr>
        <w:t>1</w:t>
      </w:r>
      <w:r>
        <w:rPr>
          <w:rFonts w:ascii="TimesNewRomanPS-BoldMT" w:hAnsi="TimesNewRomanPS-BoldMT" w:eastAsia="TimesNewRomanPS-BoldMT" w:cs="TimesNewRomanPS-BoldMT"/>
          <w:b/>
          <w:color w:val="000000"/>
          <w:kern w:val="0"/>
          <w:sz w:val="36"/>
          <w:szCs w:val="36"/>
          <w:lang w:val="en-US" w:eastAsia="zh-CN" w:bidi="ar"/>
        </w:rPr>
        <w:t xml:space="preserve">. </w:t>
      </w:r>
      <w:r>
        <w:rPr>
          <w:rFonts w:hint="eastAsia" w:ascii="宋体" w:hAnsi="宋体" w:cs="宋体"/>
          <w:b/>
          <w:color w:val="000000"/>
          <w:kern w:val="0"/>
          <w:sz w:val="35"/>
          <w:szCs w:val="35"/>
          <w:lang w:val="en-US" w:eastAsia="zh-CN" w:bidi="ar"/>
        </w:rPr>
        <w:t>项目成本控制概述</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项目成本控制工作是一项综合管理工作。在项目实施过程中尽量使项目实际发生的成本控制在项目预算范围之内的一项项目管理工作。 项目成本控制涉及对于各种能够引起项目成本变化因素的控制（事前控制），项目实施过程的成本控制（事中控制）和项目实际成本变动的控制（事后控制）三个方面。企业内部控制，是指企业为了保证业务活动的有效进行和资产的安全与完整，发现和纠正错误与舞弊，保证会计资料的真实、合法、完整从而制定和实施的政策、措施及程序。</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宋体" w:hAnsi="宋体" w:cs="宋体"/>
          <w:b w:val="0"/>
          <w:bCs/>
          <w:color w:val="000000"/>
          <w:kern w:val="0"/>
          <w:sz w:val="21"/>
          <w:szCs w:val="21"/>
          <w:lang w:val="en-US" w:eastAsia="zh-CN" w:bidi="ar"/>
        </w:rPr>
      </w:pPr>
      <w:r>
        <w:rPr>
          <w:rFonts w:ascii="TimesNewRomanPS-BoldMT" w:hAnsi="TimesNewRomanPS-BoldMT" w:eastAsia="TimesNewRomanPS-BoldMT" w:cs="TimesNewRomanPS-BoldMT"/>
          <w:b/>
          <w:color w:val="000000"/>
          <w:kern w:val="0"/>
          <w:sz w:val="36"/>
          <w:szCs w:val="36"/>
          <w:lang w:eastAsia="zh-CN" w:bidi="ar"/>
        </w:rPr>
        <w:t>2</w:t>
      </w:r>
      <w:r>
        <w:rPr>
          <w:rFonts w:ascii="TimesNewRomanPS-BoldMT" w:hAnsi="TimesNewRomanPS-BoldMT" w:eastAsia="TimesNewRomanPS-BoldMT" w:cs="TimesNewRomanPS-BoldMT"/>
          <w:b/>
          <w:color w:val="000000"/>
          <w:kern w:val="0"/>
          <w:sz w:val="36"/>
          <w:szCs w:val="36"/>
          <w:lang w:val="en-US" w:eastAsia="zh-CN" w:bidi="ar"/>
        </w:rPr>
        <w:t xml:space="preserve">. </w:t>
      </w:r>
      <w:r>
        <w:rPr>
          <w:rFonts w:hint="eastAsia" w:ascii="宋体" w:hAnsi="宋体" w:cs="宋体"/>
          <w:b/>
          <w:color w:val="000000"/>
          <w:kern w:val="0"/>
          <w:sz w:val="35"/>
          <w:szCs w:val="35"/>
          <w:lang w:val="en-US" w:eastAsia="zh-CN" w:bidi="ar"/>
        </w:rPr>
        <w:t>软件项目开发成本</w:t>
      </w:r>
      <w:r>
        <w:rPr>
          <w:rFonts w:ascii="宋体" w:hAnsi="宋体" w:eastAsia="宋体" w:cs="宋体"/>
          <w:b/>
          <w:color w:val="000000"/>
          <w:kern w:val="0"/>
          <w:sz w:val="35"/>
          <w:szCs w:val="35"/>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bCs w:val="0"/>
          <w:color w:val="000000"/>
          <w:kern w:val="0"/>
          <w:sz w:val="29"/>
          <w:szCs w:val="29"/>
          <w:lang w:val="en-US" w:eastAsia="zh-CN" w:bidi="ar"/>
        </w:rPr>
        <w:t>2</w:t>
      </w:r>
      <w:r>
        <w:rPr>
          <w:rFonts w:hint="eastAsia" w:ascii="宋体" w:hAnsi="宋体" w:eastAsia="宋体" w:cs="宋体"/>
          <w:b/>
          <w:bCs w:val="0"/>
          <w:color w:val="000000"/>
          <w:kern w:val="0"/>
          <w:sz w:val="29"/>
          <w:szCs w:val="29"/>
          <w:lang w:val="en-US" w:eastAsia="zh-CN" w:bidi="ar"/>
        </w:rPr>
        <w:t xml:space="preserve">.1 </w:t>
      </w:r>
      <w:r>
        <w:rPr>
          <w:rFonts w:hint="eastAsia" w:ascii="宋体" w:hAnsi="宋体" w:cs="宋体"/>
          <w:b/>
          <w:bCs w:val="0"/>
          <w:color w:val="000000"/>
          <w:kern w:val="0"/>
          <w:sz w:val="29"/>
          <w:szCs w:val="29"/>
          <w:lang w:val="en-US" w:eastAsia="zh-CN" w:bidi="ar"/>
        </w:rPr>
        <w:t>成本组成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 人力资源成本：与项目人员相关的成本开销,包括项目成员工薪和红利、外包合同人员和临时雇员薪金、加班工资等。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(2）资产类成本;资产购置成本 指产生或形成项目交付物所用到的有形资产,包括计算机硬件、软件、外部设备、网络设施、电信设备、安装工具等.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(3） 管理费用：用于项目环境维护,确保项目完工所支出的成本,包括办公室供应、房屋(租金,设备)、支持服务等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(4）项目特别费用：在项目实施以及完工过程中的成本支出,包括;：训费用和准备费用等费用。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bCs w:val="0"/>
          <w:color w:val="000000"/>
          <w:kern w:val="0"/>
          <w:sz w:val="29"/>
          <w:szCs w:val="29"/>
          <w:lang w:val="en-US" w:eastAsia="zh-CN" w:bidi="ar"/>
        </w:rPr>
        <w:t>2.2 软件项目成本影响因素分析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项目质量对成本的影响。一般情况下,项目质量分别从质量故障维护和质量保证措施两个方面对成本产生影响。排除产品故障、保证产品重新恢复功能的发生的费用形成成本;提高产品质量发生的费用也产生成本。这二者之间的关系是相互矛盾，,相互成反比的。项目质量越低,前期投入故障排除的成本越低 质量不合格引起的损失越大 维护成本就会增加;项目质量越高,故障少,前期投入故障排除的成本提高,那后期维护成本就会降低。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(2)项目工期对成本的影响。对于软件开发项目,工期的长短对项目的成本影响很大,表现在两个方面一方面是项目经理部为了保证工期而采取的措施费用,当工期缩短时，需要更多的、技术更高的团队成员也需要投入更密集的硬件成本,直接成本就会增加。另一方面是因为工期拖延而导致的业主索赔成本亦可称其为工期损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(3)人力资源对成本的影响。人力资源的素质也是影响成本的重要因素,对高技能、高素质的项目团队成员,其自身的人力资源成本是比较高的,但对应的工作效率、产品质量、工期的长短等指标上的优势更是豆而易见的,而且从总体上能降低成本;对一般人员还需要技术培训,相对而言工期会延长,工作效率也会变低下,甚至要雇佣更多的人员参与,造成成本的增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(4)价格对成本的影响。中间产品和服务,市场人力资源、硬件、软件的价格也对成本产生直接影响，对项目的成本估算影响也很大。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p>
    <w:p/>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imesNewRomanPS-BoldMT" w:hAnsi="TimesNewRomanPS-BoldMT" w:eastAsia="TimesNewRomanPS-BoldMT" w:cs="TimesNewRomanPS-BoldMT"/>
          <w:b/>
          <w:color w:val="000000"/>
          <w:kern w:val="0"/>
          <w:sz w:val="36"/>
          <w:szCs w:val="36"/>
          <w:lang w:val="en-US" w:eastAsia="zh-CN" w:bidi="ar"/>
        </w:rPr>
      </w:pPr>
      <w:r>
        <w:rPr>
          <w:rFonts w:hint="eastAsia" w:ascii="TimesNewRomanPS-BoldMT" w:hAnsi="TimesNewRomanPS-BoldMT" w:eastAsia="TimesNewRomanPS-BoldMT" w:cs="TimesNewRomanPS-BoldMT"/>
          <w:b/>
          <w:color w:val="000000"/>
          <w:kern w:val="0"/>
          <w:sz w:val="36"/>
          <w:szCs w:val="36"/>
          <w:lang w:val="en-US" w:eastAsia="zh-CN" w:bidi="ar"/>
        </w:rPr>
        <w:t>成本控制策略分析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建立责权利相结合的成本控制体系,强化全员成本控制。编制成本计划并下达成本控制指标,同时作为成本责任指标考核的重要依据之一。对每个部门、每个人的工作职责和范围进行明确的界定赋予相应的权利。在项目实施过程中,要定期检查和考评,做到奖罚分明,彻底打破“千好干坏一个样，干多干少-个样〞的局面。在层层抓落实逐级负责的基础上,形成一个完整的责权利相结合的项目成本管理体系强化全员成本控制。</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2.加强项目过程管理和监控,强化全过程成本控制。全过程软件成本控制模式涵盖了软件开发项目经营决策阶段、需求整理分析阶段、开发阶段、需求变更阶段、测试阶段等等环节。</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是加强软件开发经营决策阶段的成本控制。经营决策阶段成本是指公司经营方向的选择,这是软件成本管理的第一个也是最为核心的环节。该阶段的成本控制,关键在于经营决策前科学而深入的市场调研及准确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加强软件开发需求整理及分析确认阶段的成本控制。需求整理指市场经营人员根据高管对于市场方向的决策,而提出的具体的产品或者项目的原始需求,需求分析是指技术员对市场部门的需求进行分析,评估其可实现性以及实现难度,大致工时等,提交相关需求分析报告,最后市场经营部门进行确认这个阶段。提高该阶段的成本控制效率,要清晰的确定并严格执行市场和技术沟通的流程,尤其是要明确每个环节的控制点。</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加强软件开发开发阶段的软件成本管理及其控制。开发阶段的成本指需求确定并且规划清晰后的具体开发过程的软件成本管理问题。该阶段的成本控制，可以 入最大可控制成本的概念。</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加强软件开发需求变更软件成本管理及其控制。需求变更成本指在开发过程中,由于市场部门的需求改变导致的成本增加而实施的控制。该阶段的成本控制,最关键的是要对于需求变更过程进行严格的管理,要从需求变更的开始,对于整个变更的每个具体的步骤进行跟踪,并且严格核算每次变更所需要的工作时,从而做好评估。同时,务必要明晰需求变更的必要性和风险性,以及所带来的实际成本的增加,所以需求要尽量经过详细的论证。1、以图形或表格的形式显示活动；</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加强软件开发测试软件成本管理及其控制。测试成本指项目开发完成阶段,在交付验收前进行的测试过程中导致的成本及其控制。该阶段的成本控制,最关键的是对测试进行错误管理模式,尽量在项目开发之前,就能整理出之前开发中出现过的所有问题,并用列表的方式进行技术会议,让所有开发人员进行错误共享,尽量把测试中可能出现的问题消灭在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加强质量成本、工期成本、人员成本控制,强化全要素成本控制。正确处理质量成本中几个方面的相互关系,加强治理成本控制。即处理好质量损失、预防费用和检验费用间的相互关系,采用科学合理、先进实用的技术措施,在确保质量达到设计要求水平的前提下,尽可能降低软件项目成本。正确处理工期与成本的关系,加强工期成本控制。在安排工期时,要注意处理工期与成本的辩证统一关系,均衡有节奏地进行工程实施,在确保工期达到合同条件的前提下,尽可能降低工期成本。突出人力资源的核心地位加强人力成本控制。软件开发项目不同于其他工程项目,最校心的资源是人力资源,质量成本和工期成本最终归结到人员成本即人力资源成本上,要求人员结构要在能够完成任务的前提下高低搭配,降低平均人员成本。一方面要将人力成本定量化,另一方面通过高效的管理制度大力挖掘提高现有人力资源的 “含金量”</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基于成本管理的各个阶段,强化成本的动态控制。软件项目成本管理就是根据企业的情况和项目的具体要求,利用公司既定的资源,在保证项目的进度、质量达到客户满意的情况下,对软件项目成本进行有效的组织、实施、控制、跟踪、分析和考核等一系列管理活动,最大限度地降低项目成本,提高项目利润。成本管理的过程包括资源计划、成本估算、成本预算、成本控制。要进行有效的项目成本估算和预算。项目预算是项目分配资源的计划,也是控制的标准，在项目成本管理中具有重要作用。</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b/>
          <w:color w:val="000000"/>
          <w:kern w:val="0"/>
          <w:sz w:val="35"/>
          <w:szCs w:val="35"/>
          <w:lang w:val="en-US" w:eastAsia="zh-CN" w:bidi="ar"/>
        </w:rPr>
      </w:pPr>
      <w:r>
        <w:rPr>
          <w:rFonts w:hint="eastAsia" w:ascii="TimesNewRomanPS-BoldMT" w:hAnsi="TimesNewRomanPS-BoldMT" w:eastAsia="TimesNewRomanPS-BoldMT" w:cs="TimesNewRomanPS-BoldMT"/>
          <w:b/>
          <w:color w:val="000000"/>
          <w:kern w:val="0"/>
          <w:sz w:val="36"/>
          <w:szCs w:val="36"/>
          <w:lang w:val="en-US" w:eastAsia="zh-CN" w:bidi="ar"/>
        </w:rPr>
        <w:t>成本</w:t>
      </w:r>
      <w:r>
        <w:rPr>
          <w:rFonts w:hint="eastAsia" w:ascii="宋体" w:hAnsi="宋体" w:cs="宋体"/>
          <w:b/>
          <w:color w:val="000000"/>
          <w:kern w:val="0"/>
          <w:sz w:val="35"/>
          <w:szCs w:val="35"/>
          <w:lang w:val="en-US" w:eastAsia="zh-CN" w:bidi="ar"/>
        </w:rPr>
        <w:t>控制报告</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成本控制流程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drawing>
          <wp:inline distT="0" distB="0" distL="114300" distR="114300">
            <wp:extent cx="4721860" cy="506730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721860" cy="506730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成本控制方法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挣值分析法(Earned Value Analysis)也称为已获取价值分析法、盈余分析法，是利用成本会计的概念对项目的进度和成本状况进行绩效评估的一种有效方法。该方法依赖于被称为“已获取价值”的一种主要测量。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（1）BCWS(Budgeted cost of work scheduled)，计划工作预算成本：到目前为止计划完成工作的总预算成本，它表示“到该日期为止本应该完成的工作是多少”。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（2）ACWP(Actual cost of work performed)，已完成工作实际成本：到目前为止已完成工作所消耗的实际成本，它表示“到该日期为止实际花了多少钱”。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（3）BCWP(Budgeted cost of work performed)，已完成工作预算成本，也称已获取价值(Earned Value)：到目前为止已完成工作的预算成本，它表示“到该日期为止已完成了多少工作”。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（4）BAC(Budgeted At Completion),工作完成的预算成本：即项目完成的预计总成本。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r>
        <w:rPr>
          <w:rFonts w:hint="eastAsia" w:ascii="宋体" w:hAnsi="宋体" w:cs="宋体"/>
          <w:b/>
          <w:bCs w:val="0"/>
          <w:color w:val="000000"/>
          <w:kern w:val="0"/>
          <w:sz w:val="29"/>
          <w:szCs w:val="29"/>
          <w:lang w:val="en-US" w:eastAsia="zh-CN" w:bidi="ar"/>
        </w:rPr>
        <w:t>成本管理报告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r>
        <w:rPr>
          <w:rFonts w:hint="eastAsia" w:ascii="宋体" w:hAnsi="宋体" w:cs="宋体"/>
          <w:b w:val="0"/>
          <w:bCs/>
          <w:color w:val="000000"/>
          <w:kern w:val="0"/>
          <w:sz w:val="21"/>
          <w:szCs w:val="21"/>
          <w:lang w:val="en-US" w:eastAsia="zh-CN" w:bidi="ar"/>
        </w:rPr>
        <w:t>对项目进行盈余分析。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ascii="宋体" w:hAnsi="宋体" w:cs="宋体"/>
          <w:b/>
          <w:bCs w:val="0"/>
          <w:color w:val="000000"/>
          <w:kern w:val="0"/>
          <w:sz w:val="29"/>
          <w:szCs w:val="29"/>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875"/>
        <w:gridCol w:w="875"/>
        <w:gridCol w:w="875"/>
        <w:gridCol w:w="875"/>
        <w:gridCol w:w="875"/>
        <w:gridCol w:w="875"/>
        <w:gridCol w:w="875"/>
        <w:gridCol w:w="876"/>
        <w:gridCol w:w="876"/>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周次</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BCWS</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BCWP</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ACWP</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累计BCWS</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累计BCWP</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累计ACWP</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SV</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CV</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SPI</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3300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3300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-240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2</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1010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1010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4070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4070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3</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6730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6730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6560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10800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10800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10880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-80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2640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2640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2630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13440</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13440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13510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-70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1605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1605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2230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15045</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15045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15740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-695</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6</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3080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3080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3420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18125</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18125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19160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-1035</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7</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5642</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6102</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6454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23767</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23767</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25614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460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-1387</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1.02</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8</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1900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1780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1960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25667</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25667</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27574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340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-1567</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1.01</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9</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3120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4380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4330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28787</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28787</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31904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1600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-1517</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1.06</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6134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4534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4940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34921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34921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36844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-1923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2400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2400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2600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37321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37321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39444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-2123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12</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2520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2720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39841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39841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42164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-2323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13</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2360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2360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2460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42201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42201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44624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-2423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1200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900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1250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43401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43401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45874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-300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-2773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0.99</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b/>
                <w:bCs w:val="0"/>
                <w:color w:val="000000"/>
                <w:kern w:val="0"/>
                <w:sz w:val="21"/>
                <w:szCs w:val="21"/>
                <w:vertAlign w:val="baseline"/>
                <w:lang w:val="en-US" w:eastAsia="zh-CN" w:bidi="ar"/>
              </w:rPr>
            </w:pPr>
            <w:r>
              <w:rPr>
                <w:rFonts w:hint="eastAsia" w:ascii="宋体" w:hAnsi="宋体" w:cs="宋体"/>
                <w:b/>
                <w:bCs w:val="0"/>
                <w:color w:val="000000"/>
                <w:kern w:val="0"/>
                <w:sz w:val="21"/>
                <w:szCs w:val="21"/>
                <w:vertAlign w:val="baseline"/>
                <w:lang w:val="en-US" w:eastAsia="zh-CN" w:bidi="ar"/>
              </w:rPr>
              <w:t>15</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740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910</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43841</w:t>
            </w:r>
          </w:p>
        </w:tc>
        <w:tc>
          <w:tcPr>
            <w:tcW w:w="875"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宋体" w:hAnsi="宋体" w:eastAsia="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43841</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46784</w:t>
            </w:r>
          </w:p>
        </w:tc>
        <w:tc>
          <w:tcPr>
            <w:tcW w:w="8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-2943</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1.00</w:t>
            </w:r>
          </w:p>
        </w:tc>
        <w:tc>
          <w:tcPr>
            <w:tcW w:w="87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right"/>
              <w:textAlignment w:val="auto"/>
              <w:outlineLvl w:val="9"/>
              <w:rPr>
                <w:rFonts w:hint="default" w:ascii="宋体" w:hAnsi="宋体" w:cs="宋体"/>
                <w:b w:val="0"/>
                <w:bCs/>
                <w:color w:val="000000"/>
                <w:kern w:val="0"/>
                <w:sz w:val="21"/>
                <w:szCs w:val="21"/>
                <w:vertAlign w:val="baseline"/>
                <w:lang w:val="en-US" w:eastAsia="zh-CN" w:bidi="ar"/>
              </w:rPr>
            </w:pPr>
            <w:r>
              <w:rPr>
                <w:rFonts w:hint="eastAsia" w:ascii="宋体" w:hAnsi="宋体" w:cs="宋体"/>
                <w:b w:val="0"/>
                <w:bCs/>
                <w:color w:val="000000"/>
                <w:kern w:val="0"/>
                <w:sz w:val="21"/>
                <w:szCs w:val="21"/>
                <w:vertAlign w:val="baseline"/>
                <w:lang w:val="en-US" w:eastAsia="zh-CN" w:bidi="ar"/>
              </w:rPr>
              <w:t>0.94</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cs="宋体"/>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宋体" w:hAnsi="宋体" w:cs="宋体"/>
          <w:b/>
          <w:bCs w:val="0"/>
          <w:color w:val="000000"/>
          <w:kern w:val="0"/>
          <w:sz w:val="29"/>
          <w:szCs w:val="29"/>
          <w:lang w:val="en-US" w:eastAsia="zh-CN" w:bidi="ar"/>
        </w:rPr>
      </w:pPr>
      <w:r>
        <w:rPr>
          <w:rFonts w:hint="eastAsia" w:ascii="宋体" w:hAnsi="宋体" w:cs="宋体"/>
          <w:b w:val="0"/>
          <w:bCs/>
          <w:color w:val="000000"/>
          <w:kern w:val="0"/>
          <w:sz w:val="21"/>
          <w:szCs w:val="21"/>
          <w:lang w:val="en-US" w:eastAsia="zh-CN" w:bidi="ar"/>
        </w:rPr>
        <w:t>1-15周盈余分析图示。</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pPr>
      <w:r>
        <w:drawing>
          <wp:inline distT="0" distB="0" distL="114300" distR="114300">
            <wp:extent cx="4581525" cy="27527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581525" cy="27527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pP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360" w:lineRule="auto"/>
        <w:ind w:left="420" w:leftChars="0" w:right="0" w:rightChars="0"/>
        <w:jc w:val="left"/>
        <w:textAlignment w:val="auto"/>
        <w:outlineLvl w:val="9"/>
        <w:rPr>
          <w:rFonts w:hint="eastAsia"/>
          <w:lang w:val="en-US" w:eastAsia="zh-CN"/>
        </w:rPr>
      </w:pPr>
      <w:r>
        <w:rPr>
          <w:rFonts w:hint="eastAsia" w:ascii="宋体" w:hAnsi="宋体" w:cs="宋体"/>
          <w:b/>
          <w:bCs w:val="0"/>
          <w:color w:val="000000"/>
          <w:kern w:val="0"/>
          <w:sz w:val="29"/>
          <w:szCs w:val="29"/>
          <w:lang w:val="en-US" w:eastAsia="zh-CN" w:bidi="ar"/>
        </w:rPr>
        <w:t>成本管理总结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宋体" w:hAnsi="宋体" w:cs="宋体"/>
          <w:b/>
          <w:bCs w:val="0"/>
          <w:color w:val="000000"/>
          <w:kern w:val="0"/>
          <w:sz w:val="29"/>
          <w:szCs w:val="29"/>
          <w:lang w:val="en-US" w:eastAsia="zh-CN" w:bidi="ar"/>
        </w:rPr>
      </w:pPr>
      <w:r>
        <w:rPr>
          <w:rFonts w:hint="eastAsia" w:ascii="宋体" w:hAnsi="宋体" w:cs="宋体"/>
          <w:b w:val="0"/>
          <w:bCs/>
          <w:color w:val="000000"/>
          <w:kern w:val="0"/>
          <w:sz w:val="21"/>
          <w:szCs w:val="21"/>
          <w:lang w:val="en-US" w:eastAsia="zh-CN" w:bidi="ar"/>
        </w:rPr>
        <w:t>从进度上看，每周的任务基本按照计划完成。从成本上看，任务结束时CPI为0.94，超出预算。</w:t>
      </w:r>
    </w:p>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NewRomanPS-BoldMT">
    <w:altName w:val="Times New Roman"/>
    <w:panose1 w:val="020205030504050903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Align="top"/>
      <w:rPr>
        <w:rStyle w:val="6"/>
        <w:rFonts w:hint="eastAsia"/>
      </w:rPr>
    </w:pPr>
  </w:p>
  <w:p>
    <w:pPr>
      <w:pStyle w:val="2"/>
      <w:framePr w:wrap="around" w:vAnchor="text" w:hAnchor="margin" w:xAlign="center" w:yAlign="top"/>
      <w:jc w:val="center"/>
      <w:rPr>
        <w:rStyle w:val="6"/>
        <w:rFonts w:hint="eastAsia"/>
      </w:rPr>
    </w:pPr>
    <w:r>
      <w:rPr>
        <w:rStyle w:val="6"/>
        <w:rFonts w:hint="eastAsia"/>
      </w:rPr>
      <w:t>第</w:t>
    </w:r>
    <w:r>
      <w:fldChar w:fldCharType="begin"/>
    </w:r>
    <w:r>
      <w:rPr>
        <w:rStyle w:val="6"/>
      </w:rPr>
      <w:instrText xml:space="preserve">PAGE  </w:instrText>
    </w:r>
    <w:r>
      <w:fldChar w:fldCharType="separate"/>
    </w:r>
    <w:r>
      <w:rPr>
        <w:rStyle w:val="6"/>
      </w:rPr>
      <w:t>3</w:t>
    </w:r>
    <w:r>
      <w:fldChar w:fldCharType="end"/>
    </w:r>
    <w:r>
      <w:rPr>
        <w:rStyle w:val="6"/>
        <w:rFonts w:hint="eastAsia"/>
      </w:rPr>
      <w:t>页，共</w:t>
    </w:r>
    <w:r>
      <w:fldChar w:fldCharType="begin"/>
    </w:r>
    <w:r>
      <w:rPr>
        <w:rStyle w:val="6"/>
      </w:rPr>
      <w:instrText xml:space="preserve"> NUMPAGES </w:instrText>
    </w:r>
    <w:r>
      <w:fldChar w:fldCharType="separate"/>
    </w:r>
    <w:r>
      <w:rPr>
        <w:rStyle w:val="6"/>
      </w:rPr>
      <w:t>3</w:t>
    </w:r>
    <w:r>
      <w:fldChar w:fldCharType="end"/>
    </w:r>
    <w:r>
      <w:rPr>
        <w:rStyle w:val="6"/>
        <w:rFonts w:hint="eastAsia"/>
      </w:rPr>
      <w:t>页</w:t>
    </w:r>
  </w:p>
  <w:p>
    <w:pPr>
      <w:pStyle w:val="2"/>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Align="top"/>
      <w:rPr>
        <w:rStyle w:val="6"/>
      </w:rPr>
    </w:pPr>
    <w:r>
      <w:fldChar w:fldCharType="begin"/>
    </w:r>
    <w:r>
      <w:rPr>
        <w:rStyle w:val="6"/>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F36D9"/>
    <w:multiLevelType w:val="multilevel"/>
    <w:tmpl w:val="09DF36D9"/>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JlNzc2N2Y3MzQzZWNjMTNmNzNiMTcyYjMxNDZmNDUifQ=="/>
  </w:docVars>
  <w:rsids>
    <w:rsidRoot w:val="52E82F0E"/>
    <w:rsid w:val="080F159E"/>
    <w:rsid w:val="4EA605C8"/>
    <w:rsid w:val="52E8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3296</Words>
  <Characters>3965</Characters>
  <Lines>0</Lines>
  <Paragraphs>0</Paragraphs>
  <TotalTime>0</TotalTime>
  <ScaleCrop>false</ScaleCrop>
  <LinksUpToDate>false</LinksUpToDate>
  <CharactersWithSpaces>4001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2022-05-25T14:52:00Z</dcterms:created>
  <dc:creator>Saturday</dc:creator>
  <cp:lastModifiedBy>Saturday</cp:lastModifiedBy>
  <dcterms:modified xsi:type="dcterms:W3CDTF">2022-05-26T03:15:30Z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67E7426EEB4944F0BA79BBA6325F1148</vt:lpwstr>
  </property>
</Properties>
</file>