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416"/>
        <w:gridCol w:w="1040"/>
        <w:gridCol w:w="373"/>
        <w:gridCol w:w="1067"/>
        <w:gridCol w:w="129"/>
        <w:gridCol w:w="1581"/>
        <w:gridCol w:w="990"/>
        <w:gridCol w:w="99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9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3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default" w:eastAsia="楷体_GB2312"/>
                <w:sz w:val="24"/>
              </w:rPr>
              <w:t>1</w:t>
            </w:r>
            <w:r>
              <w:rPr>
                <w:rFonts w:hint="eastAsia" w:eastAsia="楷体_GB2312"/>
                <w:sz w:val="24"/>
                <w:lang w:eastAsia="zh-CN"/>
              </w:rPr>
              <w:t>9</w:t>
            </w:r>
            <w:r>
              <w:rPr>
                <w:rFonts w:hint="eastAsia" w:eastAsia="楷体_GB2312"/>
                <w:sz w:val="24"/>
                <w:lang w:val="en-US" w:eastAsia="zh-Hans"/>
              </w:rPr>
              <w:t>软件工程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邵祺文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eastAsia="zh-CN"/>
              </w:rPr>
            </w:pPr>
            <w:r>
              <w:rPr>
                <w:rFonts w:hint="eastAsia" w:eastAsia="楷体_GB2312"/>
                <w:sz w:val="24"/>
                <w:lang w:eastAsia="zh-CN"/>
              </w:rPr>
              <w:t>1927406014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12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170" w:type="dxa"/>
            <w:gridSpan w:val="7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Hans"/>
              </w:rPr>
            </w:pPr>
            <w:r>
              <w:rPr>
                <w:rFonts w:hint="eastAsia" w:eastAsia="楷体_GB2312"/>
                <w:sz w:val="24"/>
                <w:lang w:val="en-US" w:eastAsia="zh-Hans"/>
              </w:rPr>
              <w:t>软件项目管理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12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Hans"/>
              </w:rPr>
            </w:pPr>
            <w:r>
              <w:rPr>
                <w:rFonts w:hint="eastAsia" w:eastAsia="楷体_GB2312"/>
                <w:sz w:val="24"/>
                <w:lang w:val="en-US" w:eastAsia="zh-Hans"/>
              </w:rPr>
              <w:t>朱斐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>
            <w:pPr>
              <w:spacing w:line="0" w:lineRule="atLeast"/>
              <w:jc w:val="both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邵祺文、高颖杰、缪睿昕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/>
              </w:rPr>
            </w:pPr>
            <w:r>
              <w:rPr>
                <w:rFonts w:hint="default" w:eastAsia="楷体_GB2312"/>
                <w:sz w:val="24"/>
              </w:rPr>
              <w:t>202</w:t>
            </w:r>
            <w:r>
              <w:rPr>
                <w:rFonts w:hint="eastAsia" w:eastAsia="楷体_GB2312"/>
                <w:sz w:val="24"/>
                <w:lang w:eastAsia="zh-CN"/>
              </w:rPr>
              <w:t>2.3.</w:t>
            </w:r>
            <w:r>
              <w:rPr>
                <w:rFonts w:hint="eastAsia" w:eastAsia="楷体_GB2312"/>
                <w:sz w:val="24"/>
                <w:lang w:val="en-US" w:eastAsia="zh-CN"/>
              </w:rPr>
              <w:t>30</w:t>
            </w: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pgSz w:w="11906" w:h="16838"/>
          <w:pgMar w:top="1134" w:right="1304" w:bottom="1134" w:left="1304" w:header="851" w:footer="992" w:gutter="0"/>
          <w:cols w:space="720" w:num="1"/>
          <w:rtlGutter w:val="0"/>
          <w:docGrid w:type="lines" w:linePitch="312" w:charSpace="0"/>
        </w:sectPr>
      </w:pPr>
    </w:p>
    <w:p>
      <w:pPr>
        <w:spacing w:line="0" w:lineRule="atLeast"/>
        <w:jc w:val="center"/>
        <w:rPr>
          <w:rFonts w:hint="eastAsia"/>
          <w:b/>
          <w:bCs/>
          <w:sz w:val="1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992745"/>
                <wp:effectExtent l="4445" t="4445" r="1714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7992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70.75pt;height:629.35pt;width:482.8pt;mso-position-horizontal:center;mso-position-vertical-relative:page;z-index:-251657216;mso-width-relative:page;mso-height-relative:page;" filled="f" stroked="t" coordsize="21600,21600" o:gfxdata="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syXdjXAAAACQEAAA8AAAAAAAAAAQAgAAAAIgAAAGRycy9kb3ducmV2&#10;LnhtbFBLAQIUABQAAAAIAIdO4kA6QgGM/QEAAAEEAAAOAAAAAAAAAAEAIAAAACYBAABkcnMvZTJv&#10;RG9jLnhtbFBLBQYAAAAABgAGAFkBAACVBQAAAAA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noWrap w:val="0"/>
            <w:vAlign w:val="bottom"/>
          </w:tcPr>
          <w:p>
            <w:pPr>
              <w:spacing w:beforeLines="5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Lines="5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0"/>
                <w:szCs w:val="30"/>
                <w:lang w:val="en-US" w:eastAsia="zh-CN" w:bidi="ar"/>
              </w:rPr>
              <w:t>VR 驾驶模拟系统</w:t>
            </w:r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30"/>
                <w:szCs w:val="30"/>
                <w:lang w:eastAsia="zh-CN" w:bidi="ar"/>
              </w:rPr>
              <w:t>——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0"/>
                <w:szCs w:val="30"/>
                <w:lang w:val="en-US" w:eastAsia="zh-Hans" w:bidi="ar"/>
              </w:rPr>
              <w:t>项目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30"/>
                <w:szCs w:val="30"/>
                <w:lang w:val="en-US" w:eastAsia="zh-CN" w:bidi="ar"/>
              </w:rPr>
              <w:t>工作量估算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eastAsia="zh-CN" w:bidi="ar"/>
        </w:rPr>
        <w:t>1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VR 驾驶模拟系统——项目WBS分解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9"/>
          <w:szCs w:val="29"/>
          <w:lang w:eastAsia="zh-CN" w:bidi="ar"/>
        </w:rPr>
        <w:t>1</w:t>
      </w:r>
      <w:r>
        <w:rPr>
          <w:rFonts w:hint="eastAsia" w:ascii="宋体" w:hAnsi="宋体" w:eastAsia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  <w:t>.1 WBS分解图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b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="宋体" w:hAnsi="宋体" w:eastAsia="宋体" w:cs="宋体"/>
          <w:b/>
          <w:color w:val="000000"/>
          <w:kern w:val="0"/>
          <w:sz w:val="29"/>
          <w:szCs w:val="29"/>
          <w:lang w:val="en-US" w:eastAsia="zh-CN" w:bidi="ar"/>
        </w:rPr>
      </w:pPr>
      <w:r>
        <w:drawing>
          <wp:inline distT="0" distB="0" distL="114300" distR="114300">
            <wp:extent cx="5906135" cy="4413250"/>
            <wp:effectExtent l="0" t="0" r="184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rPr>
          <w:rFonts w:ascii="DengXian-Light" w:hAnsi="DengXian-Light" w:eastAsia="DengXian-Light" w:cs="DengXian-Light"/>
          <w:b/>
          <w:color w:val="000000"/>
          <w:kern w:val="0"/>
          <w:sz w:val="29"/>
          <w:szCs w:val="29"/>
          <w:lang w:eastAsia="zh-CN" w:bidi="ar"/>
        </w:rPr>
        <w:t>1</w:t>
      </w:r>
      <w:r>
        <w:rPr>
          <w:rFonts w:ascii="DengXian-Light" w:hAnsi="DengXian-Light" w:eastAsia="DengXian-Light" w:cs="DengXian-Light"/>
          <w:b/>
          <w:color w:val="000000"/>
          <w:kern w:val="0"/>
          <w:sz w:val="29"/>
          <w:szCs w:val="29"/>
          <w:lang w:val="en-US" w:eastAsia="zh-CN" w:bidi="ar"/>
        </w:rPr>
        <w:t xml:space="preserve">.2 </w:t>
      </w:r>
      <w:r>
        <w:rPr>
          <w:rFonts w:hint="eastAsia" w:ascii="宋体" w:hAnsi="宋体" w:cs="宋体"/>
          <w:b/>
          <w:color w:val="000000"/>
          <w:kern w:val="0"/>
          <w:sz w:val="29"/>
          <w:szCs w:val="29"/>
          <w:lang w:val="en-US" w:eastAsia="zh-CN" w:bidi="ar"/>
        </w:rPr>
        <w:t>WBS提纲</w:t>
      </w:r>
      <w:r>
        <w:rPr>
          <w:rFonts w:ascii="宋体" w:hAnsi="宋体" w:eastAsia="宋体" w:cs="宋体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1.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项目范围规划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确定项目范围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获得项目所需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定义预备资源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4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获取核心资源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5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项目范围规划完成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系统需求分析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功能和非功能需求分析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2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起草初步的软件规格说明书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3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制定初步预算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4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工作组审阅软件规格说明书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5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系统需求说明书完成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系统概要设计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审阅初步的软件规格说明书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系统总体架构设计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外部接口设计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模块设计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5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数据结构设计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生成系统概要设计说明书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7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系统概要设计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详细设计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审阅系统概要设计说明书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确定模块使用算法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确定模块使用数据结构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确定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接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口、模块输入输出细节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5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生成系统详细设计说明书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详细设计完成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5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5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审阅系统详细说明书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2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分派任务给开发人员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编码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开发完成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1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制定测试计划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Hans" w:bidi="ar"/>
        </w:rPr>
        <w:t>2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搭建系统运行环境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3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用例/功能测试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4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性能测试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5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生成测试文档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eastAsia="zh-CN" w:bidi="ar"/>
        </w:rPr>
        <w:t>6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测试完成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eastAsia="zh-CN" w:bidi="ar"/>
        </w:rPr>
        <w:t>2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 xml:space="preserve">. </w:t>
      </w:r>
      <w:r>
        <w:rPr>
          <w:rFonts w:hint="eastAsia" w:ascii="宋体" w:hAnsi="宋体" w:cs="宋体"/>
          <w:b/>
          <w:color w:val="000000"/>
          <w:kern w:val="0"/>
          <w:sz w:val="35"/>
          <w:szCs w:val="35"/>
          <w:lang w:val="en-US" w:eastAsia="zh-CN" w:bidi="ar"/>
        </w:rPr>
        <w:t>类比法工作量估算</w:t>
      </w:r>
      <w:r>
        <w:rPr>
          <w:rFonts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根据市场已有模拟驾驶系统VI-grade所开发的VI-WorldSim，估算该项目工作量约为15000人/天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/>
    <w:p/>
    <w:p/>
    <w:p/>
    <w:p/>
    <w:p/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>3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 xml:space="preserve">. 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>基于WBS的</w:t>
      </w:r>
      <w:r>
        <w:rPr>
          <w:rFonts w:hint="eastAsia" w:ascii="宋体" w:hAnsi="宋体" w:cs="宋体"/>
          <w:b/>
          <w:color w:val="000000"/>
          <w:kern w:val="0"/>
          <w:sz w:val="35"/>
          <w:szCs w:val="35"/>
          <w:lang w:val="en-US" w:eastAsia="zh-CN" w:bidi="ar"/>
        </w:rPr>
        <w:t>工作量估算</w:t>
      </w:r>
      <w:r>
        <w:rPr>
          <w:rFonts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基于WBS的工作量估算方法，是最常见的一种估算方法，也是厂商最常用的。基于WBS的工作量的估算方法，又称为由底向上法（自下而上法），通常的估算步骤如下：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进行WBS分解，力所能及地将整个项目的任务进行分解；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参考类似项目的数据，采用类比法或专家法，估计WBS中每类活动的工作量；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汇总得到项目的总工作量。</w:t>
      </w:r>
    </w:p>
    <w:p/>
    <w:p/>
    <w:p/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  <w:t xml:space="preserve">.1 </w:t>
      </w:r>
      <w:r>
        <w:rPr>
          <w:rFonts w:hint="eastAsia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  <w:t>工作量估算表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977"/>
        <w:gridCol w:w="1391"/>
        <w:gridCol w:w="1268"/>
        <w:gridCol w:w="1309"/>
        <w:gridCol w:w="1336"/>
        <w:gridCol w:w="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里程碑</w:t>
            </w:r>
          </w:p>
        </w:tc>
        <w:tc>
          <w:tcPr>
            <w:tcW w:w="1977" w:type="dxa"/>
            <w:vMerge w:val="restart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工作描述</w:t>
            </w:r>
          </w:p>
        </w:tc>
        <w:tc>
          <w:tcPr>
            <w:tcW w:w="5304" w:type="dxa"/>
            <w:gridSpan w:val="4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工作量估算（人/天）</w:t>
            </w:r>
          </w:p>
        </w:tc>
        <w:tc>
          <w:tcPr>
            <w:tcW w:w="811" w:type="dxa"/>
            <w:vMerge w:val="restart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97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91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最小工作量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最大工作量</w:t>
            </w:r>
          </w:p>
        </w:tc>
        <w:tc>
          <w:tcPr>
            <w:tcW w:w="1309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可能工作量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估算结果</w:t>
            </w:r>
          </w:p>
        </w:tc>
        <w:tc>
          <w:tcPr>
            <w:tcW w:w="81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项目范围规划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确定项目范围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811" w:type="dxa"/>
            <w:vMerge w:val="restart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获得项目所需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定义预备资源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98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获取核心资源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270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420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375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350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项目范围规划完成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系统需求分析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功能和非功能需求分析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811" w:type="dxa"/>
            <w:vMerge w:val="restart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起草初步的软件规格说明书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制定初步预算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工作组审阅软件规格说明书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系统需求说明书完成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170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系统概要设计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审阅初步的软件规格说明书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811" w:type="dxa"/>
            <w:vMerge w:val="restart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系统总体架构设计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外部接口设计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模块设计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数据结构设计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生成系统概要设计说明书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系统概要设计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Hans" w:bidi="ar"/>
              </w:rPr>
              <w:t>完成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230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详细设计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审阅系统概要设计说明书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811" w:type="dxa"/>
            <w:vMerge w:val="restart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确定模块使用算法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确定模块使用数据结构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确定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Hans" w:bidi="ar"/>
              </w:rPr>
              <w:t>接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口、模块输入输出细节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生成系统详细设计说明书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详细设计完成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开发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审阅系统详细说明书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811" w:type="dxa"/>
            <w:vMerge w:val="restart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分派任务给开发人员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编码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5900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4900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4900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开发完成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811" w:type="dxa"/>
            <w:vMerge w:val="continue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制定测试计划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811" w:type="dxa"/>
            <w:vMerge w:val="restart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搭建系统运行环境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811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用例/功能测试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811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性能测试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  <w:tc>
          <w:tcPr>
            <w:tcW w:w="811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生成测试文档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811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测试完成</w:t>
            </w:r>
          </w:p>
        </w:tc>
        <w:tc>
          <w:tcPr>
            <w:tcW w:w="139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68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309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811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>4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 xml:space="preserve">. </w:t>
      </w:r>
      <w:r>
        <w:rPr>
          <w:rFonts w:hint="eastAsia" w:ascii="宋体" w:hAnsi="宋体" w:cs="宋体"/>
          <w:b/>
          <w:color w:val="000000"/>
          <w:kern w:val="0"/>
          <w:sz w:val="35"/>
          <w:szCs w:val="35"/>
          <w:lang w:val="en-US" w:eastAsia="zh-CN" w:bidi="ar"/>
        </w:rPr>
        <w:t>工作量估算总结</w:t>
      </w:r>
      <w:r>
        <w:rPr>
          <w:rFonts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根据类比法工作量估算以及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基于WBS的工作量估算方法，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可以得出该项目工作量约为15000人/天，500人/月。</w:t>
      </w:r>
      <w:bookmarkStart w:id="0" w:name="_GoBack"/>
      <w:bookmarkEnd w:id="0"/>
    </w:p>
    <w:p>
      <w:pPr>
        <w:rPr>
          <w:sz w:val="21"/>
          <w:szCs w:val="21"/>
        </w:rPr>
      </w:pPr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rtlGutter w:val="0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DengXian-Light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Align="top"/>
      <w:rPr>
        <w:rStyle w:val="6"/>
        <w:rFonts w:hint="eastAsia"/>
      </w:rPr>
    </w:pPr>
  </w:p>
  <w:p>
    <w:pPr>
      <w:pStyle w:val="2"/>
      <w:framePr w:wrap="around" w:vAnchor="text" w:hAnchor="margin" w:xAlign="center" w:yAlign="top"/>
      <w:jc w:val="center"/>
      <w:rPr>
        <w:rStyle w:val="6"/>
        <w:rFonts w:hint="eastAsia"/>
      </w:rPr>
    </w:pPr>
    <w:r>
      <w:rPr>
        <w:rStyle w:val="6"/>
        <w:rFonts w:hint="eastAsia"/>
      </w:rPr>
      <w:t>第</w:t>
    </w: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3</w:t>
    </w:r>
    <w:r>
      <w:fldChar w:fldCharType="end"/>
    </w:r>
    <w:r>
      <w:rPr>
        <w:rStyle w:val="6"/>
        <w:rFonts w:hint="eastAsia"/>
      </w:rPr>
      <w:t>页，共</w:t>
    </w:r>
    <w:r>
      <w:fldChar w:fldCharType="begin"/>
    </w:r>
    <w:r>
      <w:rPr>
        <w:rStyle w:val="6"/>
      </w:rPr>
      <w:instrText xml:space="preserve"> NUMPAGES </w:instrText>
    </w:r>
    <w:r>
      <w:fldChar w:fldCharType="separate"/>
    </w:r>
    <w:r>
      <w:rPr>
        <w:rStyle w:val="6"/>
      </w:rPr>
      <w:t>3</w:t>
    </w:r>
    <w:r>
      <w:fldChar w:fldCharType="end"/>
    </w:r>
    <w:r>
      <w:rPr>
        <w:rStyle w:val="6"/>
        <w:rFonts w:hint="eastAsia"/>
      </w:rPr>
      <w:t>页</w:t>
    </w:r>
  </w:p>
  <w:p>
    <w:pPr>
      <w:pStyle w:val="2"/>
      <w:spacing w:beforeLines="100"/>
      <w:jc w:val="right"/>
      <w:rPr>
        <w:rFonts w:hint="eastAsia"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Align="top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AF5E2"/>
    <w:multiLevelType w:val="singleLevel"/>
    <w:tmpl w:val="329AF5E2"/>
    <w:lvl w:ilvl="0" w:tentative="0">
      <w:start w:val="1"/>
      <w:numFmt w:val="decimal"/>
      <w:suff w:val="nothing"/>
      <w:lvlText w:val="%1）"/>
      <w:lvlJc w:val="left"/>
      <w:pPr>
        <w:ind w:left="9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lNzc2N2Y3MzQzZWNjMTNmNzNiMTcyYjMxNDZmNDUifQ=="/>
  </w:docVars>
  <w:rsids>
    <w:rsidRoot w:val="65B76A06"/>
    <w:rsid w:val="10AB4F16"/>
    <w:rsid w:val="209B01BF"/>
    <w:rsid w:val="4D0D5087"/>
    <w:rsid w:val="65B7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954</Words>
  <Characters>1092</Characters>
  <Lines>0</Lines>
  <Paragraphs>0</Paragraphs>
  <TotalTime>2</TotalTime>
  <ScaleCrop>false</ScaleCrop>
  <LinksUpToDate>false</LinksUpToDate>
  <CharactersWithSpaces>1109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2022-05-23T13:59:00Z</dcterms:created>
  <dc:creator>Saturday</dc:creator>
  <cp:lastModifiedBy>Saturday</cp:lastModifiedBy>
  <dcterms:modified xsi:type="dcterms:W3CDTF">2022-05-24T13:54:56Z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D84FCE3E092942F987B28CF8C267888C</vt:lpwstr>
  </property>
</Properties>
</file>