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40"/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ESTATUTO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DENOMINAÇÃO, SEDE, FORO E FINALIDADES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rtl w:val="0"/>
        </w:rPr>
        <w:t xml:space="preserve">“DatAí Tecnologia Ej”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com nome fantasia “</w:t>
      </w:r>
      <w:r w:rsidDel="00000000" w:rsidR="00000000" w:rsidRPr="00000000">
        <w:rPr>
          <w:rFonts w:ascii="Gautami" w:cs="Gautami" w:eastAsia="Gautami" w:hAnsi="Gautami"/>
          <w:highlight w:val="yellow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DatAí Consultoria”, dos(as)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alunos(as) de graduação vinculados aos cursos de Ciência de Dados e Inteligência Artificial, Big Data e Inteligência Analítica, Banco de Dados e Armazenamento Big Data, Engenharia da Computação, Ciência da Computação, Engenharia de Software do Instituto de Educação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Superior de Brasília – IESB, é uma Pessoa Jurídica de Direito Privado, constituída por tempo indeterminado. Sem fins econômicos, de caráter representativo, promocional e educacional, sem cunho político ou partidário, com a finalidade de representação dos(as) alunos(as) a que a ela se associam. Com foro na Circunscrição Judiciária de Brasília, sediada em SGAS Quadra 613/614 – Lotes 97 e 98 L2 Sul, Brasília, DF, CEP: 70.200-730, regida por este Estatuto e pela legislação aplicável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exercício social da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DatAí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Consultoria coincide com o ano civil.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2º.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É vedado à DatAí Consultoria: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8"/>
        </w:numPr>
        <w:tabs>
          <w:tab w:val="left" w:leader="none" w:pos="720"/>
        </w:tabs>
        <w:spacing w:after="0" w:line="360" w:lineRule="auto"/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distribuir qualquer parcela de seu patrimônio, receita, recursos ou excedentes financeiros, a</w:t>
      </w:r>
    </w:p>
    <w:p w:rsidR="00000000" w:rsidDel="00000000" w:rsidP="00000000" w:rsidRDefault="00000000" w:rsidRPr="00000000" w14:paraId="00000010">
      <w:pPr>
        <w:spacing w:after="0" w:line="360" w:lineRule="auto"/>
        <w:ind w:left="720" w:right="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título de lucro, vantagem, bonificação ou de participação, a qualquer dirigente, associado(a) ou mantenedor(a), sob nenhuma forma ou pretexto, nem mesmo em razão de desligamento, retirada ou falecimento;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0"/>
        </w:tabs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II.</w:t>
        <w:tab/>
        <w:t xml:space="preserve">remunerar os(as) associados(as);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III.  propagar qualquer forma de ideologia ou pensamento político-partidário.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920" w:firstLine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1"/>
    <w:bookmarkEnd w:id="1"/>
    <w:p w:rsidR="00000000" w:rsidDel="00000000" w:rsidP="00000000" w:rsidRDefault="00000000" w:rsidRPr="00000000" w14:paraId="00000019">
      <w:pPr>
        <w:ind w:left="3940" w:firstLine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3º.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São objetivos da 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tabs>
          <w:tab w:val="left" w:leader="none" w:pos="720"/>
        </w:tabs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representar e defender os interesses dos(as) associados(as);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720"/>
        </w:tabs>
        <w:spacing w:line="360" w:lineRule="auto"/>
        <w:ind w:left="720" w:hanging="358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promover a capacitação continuada e o permanente aprendizado acadêmico e profissional de associados(as);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III.  promover estudos e eventos para os(as) associados(as) e interessados(as);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00"/>
        </w:tabs>
        <w:spacing w:line="360" w:lineRule="auto"/>
        <w:ind w:left="720" w:hanging="35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IV.</w:t>
        <w:tab/>
        <w:t xml:space="preserve">incentivar a capacidade empreendedora do(a) associado(a), envolvendo-a na realidade da Empresa;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00"/>
        </w:tabs>
        <w:spacing w:line="374" w:lineRule="auto"/>
        <w:ind w:left="720" w:right="20" w:hanging="35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V.</w:t>
        <w:tab/>
        <w:t xml:space="preserve">desenvolver projetos e realizar estudos de qualidade para entidades, empresas e à sociedade em geral, de acordo com a legislação vigente, sob a supervisão de professores, profissionais </w:t>
      </w:r>
      <w:r w:rsidDel="00000000" w:rsidR="00000000" w:rsidRPr="00000000">
        <w:rPr>
          <w:rFonts w:ascii="Arial" w:cs="Arial" w:eastAsia="Arial" w:hAnsi="Arial"/>
          <w:rtl w:val="0"/>
        </w:rPr>
        <w:t xml:space="preserve">especializados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no assunto, ou mediante parcerias com entidades especializadas.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DatAí Consultoria, para a consecução dos seus objetivos, poderá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realizar qualquer atividade condizente com o presente Estatuto e com a legislação aplicável.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4º.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É vedada a utilização do nome da DatAí Consultoria e da sua sede para fins não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previstos nos objetivos estatutários, bem como para campanhas ou promoções que não sejam de interesse da associação.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RECURSOS FINANCEIROS, PATRIMÔNIO E DESPESAS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4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 - RECURSOS FINANCEIROS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5º.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 recursos financeiros necessários à manutenção da DatAí Consultoria poderão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ser obtidos por meio de: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tabs>
          <w:tab w:val="left" w:leader="none" w:pos="720"/>
        </w:tabs>
        <w:spacing w:line="360" w:lineRule="auto"/>
        <w:ind w:left="720" w:hanging="358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Termos de Parceria, Convênios e Contratos firmados com o Poder Público, empresas e agências nacionais e internacionais, instituições privadas, Organizações Não Governamentais (Ongs), Organizações da Sociedade Civil de Interesse Público (Oscips),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setores organizados da sociedade civil e outras para financiamento de projetos na sua área de atuação;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00"/>
        </w:tabs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II.</w:t>
        <w:tab/>
        <w:t xml:space="preserve">subvenções, doações, legados e heranças de qualquer tipo;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00"/>
        </w:tabs>
        <w:spacing w:line="360" w:lineRule="auto"/>
        <w:ind w:left="720" w:right="20" w:hanging="35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III.</w:t>
        <w:tab/>
        <w:t xml:space="preserve">rendimentos de aplicações de seus ativos financeiros e outros, pertinentes ao patrimônio sob a sua administração;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IV. </w:t>
        <w:tab/>
        <w:t xml:space="preserve">contribuições voluntárias dos(as) associados(as);</w:t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V.   receitas provenientes das atividades correlatas com os objetivos estatutários;</w:t>
      </w:r>
    </w:p>
    <w:p w:rsidR="00000000" w:rsidDel="00000000" w:rsidP="00000000" w:rsidRDefault="00000000" w:rsidRPr="00000000" w14:paraId="0000003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VI. receitas provenientes da exploração de propriedade intelectual;</w:t>
      </w:r>
    </w:p>
    <w:p w:rsidR="00000000" w:rsidDel="00000000" w:rsidP="00000000" w:rsidRDefault="00000000" w:rsidRPr="00000000" w14:paraId="0000003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  <w:vertAlign w:val="baseline"/>
        </w:rPr>
        <w:sectPr>
          <w:headerReference r:id="rId6" w:type="default"/>
          <w:footerReference r:id="rId7" w:type="default"/>
          <w:pgSz w:h="16860" w:w="1192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VII. outras receitas.</w:t>
      </w:r>
    </w:p>
    <w:bookmarkStart w:colFirst="0" w:colLast="0" w:name="3znysh7" w:id="2"/>
    <w:bookmarkEnd w:id="2"/>
    <w:p w:rsidR="00000000" w:rsidDel="00000000" w:rsidP="00000000" w:rsidRDefault="00000000" w:rsidRPr="00000000" w14:paraId="00000041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II -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right="4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6º.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patrimônio da DatAí Consultoria será constituído de bens móveis, imóveis, ações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 títulos da dívida pública, títulos de renda, valores, mo</w:t>
      </w:r>
      <w:r w:rsidDel="00000000" w:rsidR="00000000" w:rsidRPr="00000000">
        <w:rPr>
          <w:rFonts w:ascii="Arial" w:cs="Arial" w:eastAsia="Arial" w:hAnsi="Arial"/>
          <w:rtl w:val="0"/>
        </w:rPr>
        <w:t xml:space="preserve">edas digitais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fundos ou depósitos bancários, que possua ou venha a possuir e por bens adquiridos, legados e recebidos em doação.</w:t>
      </w:r>
    </w:p>
    <w:p w:rsidR="00000000" w:rsidDel="00000000" w:rsidP="00000000" w:rsidRDefault="00000000" w:rsidRPr="00000000" w14:paraId="00000045">
      <w:pPr>
        <w:spacing w:line="360" w:lineRule="auto"/>
        <w:ind w:right="4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line="360" w:lineRule="auto"/>
        <w:ind w:left="720" w:right="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1º. </w:t>
      </w:r>
      <w:r w:rsidDel="00000000" w:rsidR="00000000" w:rsidRPr="00000000">
        <w:rPr>
          <w:rFonts w:ascii="Gautami" w:cs="Gautami" w:eastAsia="Gautami" w:hAnsi="Gautami"/>
          <w:sz w:val="24"/>
          <w:szCs w:val="24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 bens imóveis do seu ativo imobilizado só poderão ser alienados, gravados ou doados, no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todo ou em parte, por deliberação da Assembleia Geral Extraordinária (AGE) especialmente convocada para este 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line="360" w:lineRule="auto"/>
        <w:ind w:left="720" w:right="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Ao decidir sobre alienação ou gravame de bens imóveis, a AGE deliberará, no mesmo ato,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sobre a destinação dos recursos decorrentes 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right="4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7º.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 caso de dissolução da DatAí Consultoria o respectivo patrimônio líquido será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destinado conforme previsto no parágrafo único do artigo 42 deste Estatuto.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4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III - DESPESAS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4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8º.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despesas da DatAí Consultoria consistem em gastos necessários ao seu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funcionamento e à manutenção de sua sede, bem como despesas que estejam em conformidade com o presente Estatuto, mantendo-se, em tudo, a respectiva contabilidade.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4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4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QUADRO DE ASSOCIADOS(AS): ADMISSÃO, DIREITOS, DEVERES E PENALIDADES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 - MEMBROS(AS)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9º.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Empresa Júnior contará com um número de associados(as) delimitado pelas demandas de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 DatAí Consultoria, conforme seu planejamento estratégico, podendo filiar-se todos(as) os(as) alunos(as) devidamente matriculados(as) nos cursos de graduação de Ciência de Dados e Inteligência Artificial, </w:t>
      </w:r>
      <w:r w:rsidDel="00000000" w:rsidR="00000000" w:rsidRPr="00000000">
        <w:rPr>
          <w:rFonts w:ascii="Arial" w:cs="Arial" w:eastAsia="Arial" w:hAnsi="Arial"/>
          <w:rtl w:val="0"/>
        </w:rPr>
        <w:t xml:space="preserve"> Big Data e Inteligência Analítica, Banco de Dados e Armazenamento Big Data, Engenharia da Computação, Ciência da Computação, Engenharia de Software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do Instituto de Educação Superior de Brasília – IESB aprovados(as) em Processo de Admissão.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10.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quadro associativo da DatAí Consultoria é formado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Executiva: composta por membros(as) eleitos(as) em Processo Eleitoral, conforme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disposto no capítulo VI deste Estatuto;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200" w:line="360" w:lineRule="auto"/>
        <w:ind w:left="720" w:hanging="360"/>
        <w:rPr>
          <w:rFonts w:ascii="Arial" w:cs="Arial" w:eastAsia="Arial" w:hAnsi="Arial"/>
        </w:rPr>
        <w:sectPr>
          <w:type w:val="nextPage"/>
          <w:pgSz w:h="16860" w:w="11920" w:orient="portrait"/>
          <w:pgMar w:bottom="1440" w:top="1427" w:left="1440" w:right="1420" w:header="0" w:footer="0"/>
        </w:sect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Membros(as) Associados(as): composto por todos(as) os(as) membros(as) admitidos(as) no Processo de Admissão, conforme disposto no artigo 11 deste Estatuto.</w:t>
      </w:r>
      <w:r w:rsidDel="00000000" w:rsidR="00000000" w:rsidRPr="00000000">
        <w:rPr>
          <w:rtl w:val="0"/>
        </w:rPr>
      </w:r>
    </w:p>
    <w:bookmarkStart w:colFirst="0" w:colLast="0" w:name="tyjcwt" w:id="4"/>
    <w:bookmarkEnd w:id="4"/>
    <w:p w:rsidR="00000000" w:rsidDel="00000000" w:rsidP="00000000" w:rsidRDefault="00000000" w:rsidRPr="00000000" w14:paraId="0000005D">
      <w:pPr>
        <w:spacing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competências relativas a cada categoria de membro(a) estão especificadas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neste Estatuto, bem como no Regimento Interno.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II - ADMISSÃO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11.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admissão dos(as) membros(as) se dará com o preenchimento dos seguintes requisitos: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tabs>
          <w:tab w:val="left" w:leader="none" w:pos="720"/>
        </w:tabs>
        <w:spacing w:after="120" w:before="120" w:lineRule="auto"/>
        <w:ind w:left="720" w:hanging="35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Ter sido aprovado(a) no Processo de Admissão da DatAí Consultoria;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tabs>
          <w:tab w:val="left" w:leader="none" w:pos="720"/>
        </w:tabs>
        <w:ind w:left="720" w:right="23" w:hanging="35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Ter assinado o Termo de Voluntariado, no qual o(a) membro(a) concorda com as normas do Regimento Interno e do Estatuto.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assinatura implicará na concordância com o presente Estatuto e os princípios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nele definidos, bem como no compromisso de expressão da sua atuação na Empresa Júnior e fora dela.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III - DIREITOS DOS(AS) ASSOCIADOS(A)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361" w:lineRule="auto"/>
        <w:ind w:right="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12.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Aos(Às) associados(as), em pleno gozo de seus direitos, asseguram-se os seguintes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direitos: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200" w:line="361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comparecer e votar nas Assembleias Gerais;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200" w:before="0" w:line="361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votar e ser votado(a) para qualquer cargo dentro dos limites deste Estatuto e Regimento Interno, obedecidas as condições das normas eleitorais;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200" w:before="0" w:line="361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convocar Assembleia Geral Extraordinária de acordo com o inciso III do artigo 21;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200" w:before="0" w:line="361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utilizar o acervo técnico, bem como as instalações e serviços nos termos do Regimento Interno;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200" w:before="0" w:line="361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participar de todas as atividades promovidas pela Empresa Júnior e de todos os benefícios por ela proporcionados, desde que observadas as normas regimentais;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200" w:before="0" w:line="361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exigir o direito de ressarcimento por qualquer despesa efetuada, mediante apresentação de comprovante e autorização d</w:t>
      </w:r>
      <w:r w:rsidDel="00000000" w:rsidR="00000000" w:rsidRPr="00000000">
        <w:rPr>
          <w:rFonts w:ascii="Arial" w:cs="Arial" w:eastAsia="Arial" w:hAnsi="Arial"/>
          <w:rtl w:val="0"/>
        </w:rPr>
        <w:t xml:space="preserve">o Líder de Organização Empresarial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200" w:line="361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solicitar afastamento temporário mediante apresentação de justificativa para chancela da</w:t>
      </w:r>
      <w:r w:rsidDel="00000000" w:rsidR="00000000" w:rsidRPr="00000000">
        <w:rPr>
          <w:rFonts w:ascii="Arial" w:cs="Arial" w:eastAsia="Arial" w:hAnsi="Arial"/>
          <w:rtl w:val="0"/>
        </w:rPr>
        <w:t xml:space="preserve"> 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4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IV - DEVERES DOS(AS) ASSOCIADOS(AS)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13.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São deveres dos(as) associados(as) efetivos(as):</w:t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20"/>
        </w:numPr>
        <w:spacing w:after="20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cumprir o Estatuto, o Regimento Interno, normas porventura existentes, princípios e as decisões dos Órgãos da Dataí Consultoria;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20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participar das reuniões da sua respectiva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 das Assembleias Gerais, devendo justificar eventuais faltas;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20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responder pelos projetos, atividades e ações pelos quais tenha sido indicado como responsável;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0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comunicar à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quaisquer alterações de natureza cadastral, inclusive endereçamento postal e eletrônico;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20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exercer diligentemente os cargos para os quais tenham sido indicados(as) ou eleitos(as);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20"/>
        </w:numPr>
        <w:spacing w:after="20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zelar pelo patrimônio, pela boa imagem e pelos objetivos da Dataí Consultoria.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Os(As) associados(as) não respondem solidária, direta ou subsidiariamente, pelos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compromissos da Dataí Consultoria, desde que tenham atuado probamente e de boa-fé ressalvados os casos em que a lei brasileira assim dispuser.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V - PENALIDADES E DESLIGAMENTO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14.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O(A) associado(a) que infringir as disposições estatutárias ou regimentais, ou praticar atos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 desabonem o nome da Dataí Consultoria, ou perturbem a sua ordem, é passível das seguintes penalidades: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tabs>
          <w:tab w:val="left" w:leader="none" w:pos="720"/>
        </w:tabs>
        <w:spacing w:after="200" w:line="360" w:lineRule="auto"/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Advertência;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tabs>
          <w:tab w:val="left" w:leader="none" w:pos="720"/>
        </w:tabs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Suspensão;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tabs>
          <w:tab w:val="left" w:leader="none" w:pos="720"/>
        </w:tabs>
        <w:spacing w:after="20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Desligamento.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tabs>
          <w:tab w:val="left" w:leader="none" w:pos="160"/>
        </w:tabs>
        <w:spacing w:after="200" w:line="360" w:lineRule="auto"/>
        <w:ind w:left="160" w:hanging="159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1º.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penalidades previstas neste artigo serão regulamentadas no Regimento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tabs>
          <w:tab w:val="left" w:leader="none" w:pos="160"/>
        </w:tabs>
        <w:spacing w:after="200" w:line="360" w:lineRule="auto"/>
        <w:ind w:left="160" w:hanging="159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suspensão e o desligamento privam o(a) associado(a) de todos os direitos assegurados por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Estatuto.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15.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desligamento ocorrerá em virtude de infração legal, estatutária ou regimental, na forma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disposta pelo Regimento Interno e obedecendo o devido processo legal, sendo assegurados os direitos de ampla defesa e recurso.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Perde-se a condição de membro(a) o(a) associado(a) que: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tabs>
          <w:tab w:val="left" w:leader="none" w:pos="720"/>
        </w:tabs>
        <w:spacing w:after="200" w:line="360" w:lineRule="auto"/>
        <w:ind w:left="720" w:hanging="358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motivar qualquer atividade que conflite com os objetivos sociais da Dataí Consultoria;</w:t>
      </w:r>
    </w:p>
    <w:p w:rsidR="00000000" w:rsidDel="00000000" w:rsidP="00000000" w:rsidRDefault="00000000" w:rsidRPr="00000000" w14:paraId="0000008E">
      <w:pPr>
        <w:tabs>
          <w:tab w:val="left" w:leader="none" w:pos="700"/>
        </w:tabs>
        <w:spacing w:after="200"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II.</w:t>
        <w:tab/>
        <w:t xml:space="preserve">deixar de cumprir as obrigações por ele firmadas com a Dataí Consultoria;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tabs>
          <w:tab w:val="left" w:leader="none" w:pos="720"/>
        </w:tabs>
        <w:spacing w:after="200" w:line="360" w:lineRule="auto"/>
        <w:ind w:left="720" w:right="140" w:hanging="358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denegrir a imagem ou causar prejuízos de ordem moral, social ou financeira à Dataí Consultoria ou a seus associados;</w:t>
      </w:r>
    </w:p>
    <w:p w:rsidR="00000000" w:rsidDel="00000000" w:rsidP="00000000" w:rsidRDefault="00000000" w:rsidRPr="00000000" w14:paraId="00000090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IV. </w:t>
        <w:tab/>
        <w:t xml:space="preserve">deixar de comparecer, sem apresentação de justificativa, a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03 (três)</w:t>
      </w:r>
      <w:r w:rsidDel="00000000" w:rsidR="00000000" w:rsidRPr="00000000">
        <w:rPr>
          <w:rFonts w:ascii="Gautami" w:cs="Gautami" w:eastAsia="Gautami" w:hAnsi="Gautami"/>
          <w:color w:val="0000ff"/>
          <w:vertAlign w:val="baseline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assembleias gerais.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16.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Poderá o(a) associado(a) solicitar o seu desligamento do quadro de associados(as) 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qualquer tempo, não sendo seu pedido passível de negação, desde que tenha todos os eventuais débitos perante à Dataí Consultoria sanados.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5"/>
    <w:bookmarkEnd w:id="5"/>
    <w:p w:rsidR="00000000" w:rsidDel="00000000" w:rsidP="00000000" w:rsidRDefault="00000000" w:rsidRPr="00000000" w14:paraId="00000094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ÓRGÃOS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17.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será administrada e fiscalizada pelos seguintes órgãos: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tabs>
          <w:tab w:val="left" w:leader="none" w:pos="720"/>
        </w:tabs>
        <w:spacing w:after="200" w:line="360" w:lineRule="auto"/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Assembleia Geral;</w:t>
      </w:r>
    </w:p>
    <w:p w:rsidR="00000000" w:rsidDel="00000000" w:rsidP="00000000" w:rsidRDefault="00000000" w:rsidRPr="00000000" w14:paraId="0000009A">
      <w:pPr>
        <w:tabs>
          <w:tab w:val="left" w:leader="none" w:pos="700"/>
        </w:tabs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II.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 - ASSEMBLEIA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18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A Assembleia Geral é o órgão máximo e soberano da DatAí Consultoria, composta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pelos(as) associados(as) no pleno gozo de seus direitos estatutários e reúne-se sob a forma de Assembleia Geral Ordinária (AGO) ou sob a forma de Assembleia Geral Extraordinária (AGE), em ambos os casos, para as hipóteses previstas neste Estatuto e para os fins específicos da convocação.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19.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à Assembleia Geral: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eleger o novo corpo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destituir qualquer membro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na forma do art. 36 deste Estatuto;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decidir sobre as reformas deste Estatuto, inclusive no tocante à administração;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decidir sobre a dissolução da DatAí Consultoria, nos termos do artigo 42 deste Estatuto e conforme a legislação vigente;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desligar os(as) associados(as);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aprovar o Regimento Interno e suas reformas;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aprovar as contas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decidir sobre demais assuntos pertinentes à DatAí Consultoria.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as deliberações dos incisos II e III deste artigo, é necessário que seja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convocada uma Assembleia Geral especialmente para esses fins.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20.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Assembleia Geral reunir-se-á ordinariamente uma vez ao ano para examinar e aprovar 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Relatório de prestação de contas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Executiva.</w:t>
      </w:r>
    </w:p>
    <w:p w:rsidR="00000000" w:rsidDel="00000000" w:rsidP="00000000" w:rsidRDefault="00000000" w:rsidRPr="00000000" w14:paraId="000000AD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05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Assembleia Geral reunir-se-á extraordinariamente, sempre que houver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necessidade, para tratar de assuntos constantes da pauta.</w:t>
      </w:r>
    </w:p>
    <w:p w:rsidR="00000000" w:rsidDel="00000000" w:rsidP="00000000" w:rsidRDefault="00000000" w:rsidRPr="00000000" w14:paraId="000000AF">
      <w:pPr>
        <w:spacing w:after="2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21.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Assembleia Geral será convocada: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tabs>
          <w:tab w:val="left" w:leader="none" w:pos="720"/>
        </w:tabs>
        <w:spacing w:after="200" w:line="360" w:lineRule="auto"/>
        <w:ind w:left="720" w:hanging="152.9999999999999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pelo(a) Presidente da DatAí Consultoria;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tabs>
          <w:tab w:val="left" w:leader="none" w:pos="720"/>
        </w:tabs>
        <w:spacing w:after="200" w:line="360" w:lineRule="auto"/>
        <w:ind w:left="720" w:hanging="152.9999999999999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pela maioria simples dos(as) membros(as)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tabs>
          <w:tab w:val="left" w:leader="none" w:pos="720"/>
        </w:tabs>
        <w:spacing w:after="200" w:line="360" w:lineRule="auto"/>
        <w:ind w:left="720" w:right="20" w:hanging="358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pedido de, no mínimo, 1/5 (um quinto) dos(as) associados(as), caso em que o(a) Presidente terá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7 (sete) dias </w:t>
      </w:r>
      <w:r w:rsidDel="00000000" w:rsidR="00000000" w:rsidRPr="00000000">
        <w:rPr>
          <w:rFonts w:ascii="Gautami" w:cs="Gautami" w:eastAsia="Gautami" w:hAnsi="Gautami"/>
          <w:color w:val="0000ff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convocá-la, a contar da data da entrega do pedido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720"/>
        </w:tabs>
        <w:spacing w:after="200"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 caso do inciso III deste artigo, se o Presidente não efetivar a convocação da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Assembleia Geral, os(as) associados(as) que tiverem subscrito o pedido terão plenos poderes para convocá-la e instalá-la, na forma do artigo 22 deste Estatuto.</w:t>
      </w:r>
    </w:p>
    <w:p w:rsidR="00000000" w:rsidDel="00000000" w:rsidP="00000000" w:rsidRDefault="00000000" w:rsidRPr="00000000" w14:paraId="000000B4">
      <w:pPr>
        <w:spacing w:after="120"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​. As Assembleias serão convocadas por meio de editais fixados na sede da DatAí Consultoria, por circulares impressos ou por correio eletrônico institucional, que informem a todos os(as) associados(as) sobre a realização dessa, com antecedência mínima de ​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7 (sete) dias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da​ data prevista para sua realização.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tabs>
          <w:tab w:val="left" w:leader="none" w:pos="240"/>
        </w:tabs>
        <w:spacing w:after="200" w:line="360" w:lineRule="auto"/>
        <w:ind w:left="240" w:hanging="239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quórum para instalação da Assembleia Geral será a maioria absoluta do número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associados(as) em primeira convocação e,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meia hora após</w:t>
      </w:r>
      <w:r w:rsidDel="00000000" w:rsidR="00000000" w:rsidRPr="00000000">
        <w:rPr>
          <w:rFonts w:ascii="Gautami" w:cs="Gautami" w:eastAsia="Gautami" w:hAnsi="Gautami"/>
          <w:color w:val="0000ff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em segunda e última convocação, com qualquer número de associados(as) em pleno gozo de seus direitos estatutários.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tabs>
          <w:tab w:val="left" w:leader="none" w:pos="240"/>
        </w:tabs>
        <w:spacing w:after="200" w:line="360" w:lineRule="auto"/>
        <w:ind w:left="240" w:hanging="239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decisões serão tomadas por maioria simples de votos dos presentes, salvo os casos em que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Estatuto expressamente definir de forma diversa.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23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A Assembleia Geral é soberana em suas decisões, que deverão ser acatadas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e pelos(as) associados(as), mesmo que ausentes e discordantes.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24.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decisões da Assembleia Geral serão registradas em atas por membro(a) responsável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tal e aprovadas por todos os presentes na data de sua escritura.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SEÇÃO II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EXECUTIVA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360" w:lineRule="auto"/>
        <w:ind w:right="23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25.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Os(As) membros(as)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serão eleitos(as), conforme o disposto no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capítulo VI deste Estatuto, pela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tabs>
          <w:tab w:val="left" w:leader="none" w:pos="200"/>
        </w:tabs>
        <w:spacing w:after="20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1º. </w:t>
      </w:r>
      <w:r w:rsidDel="00000000" w:rsidR="00000000" w:rsidRPr="00000000">
        <w:rPr>
          <w:rFonts w:ascii="Arial" w:cs="Arial" w:eastAsia="Arial" w:hAnsi="Arial"/>
          <w:rtl w:val="0"/>
        </w:rPr>
        <w:t xml:space="preserve">Os(As) membros(as) da Liderança Executiva não responderão, nem mesmo subsidiariamente, pelas obrigações contraídas pela DatAí Consultoria, ressalvados os casos em que a lei brasileira assim dispuser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"/>
        </w:tabs>
        <w:spacing w:after="20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2º.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Os(As) membros(as)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tão somente responderão pelos atos praticados nos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seus respectivos mandatos.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360" w:lineRule="auto"/>
        <w:ind w:right="23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26.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compõe-se de 6 (seis) membros(as):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(um) Presidente, 1 (um)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 Atendimento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1 (um)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Pesquisa e Desenvolvimento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1 (um)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Organização Empresarial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1 (um)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rtl w:val="0"/>
        </w:rPr>
        <w:t xml:space="preserve">Talentos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 1 (um)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rtl w:val="0"/>
        </w:rPr>
        <w:t xml:space="preserve">Imagem e Publicidade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00" w:line="360" w:lineRule="auto"/>
        <w:ind w:left="720" w:right="23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1º.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Tratando-se de vacância em cargo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ou de presidente, será indicada pel</w:t>
      </w:r>
      <w:r w:rsidDel="00000000" w:rsidR="00000000" w:rsidRPr="00000000">
        <w:rPr>
          <w:rFonts w:ascii="Arial" w:cs="Arial" w:eastAsia="Arial" w:hAnsi="Arial"/>
          <w:rtl w:val="0"/>
        </w:rPr>
        <w:t xml:space="preserve">a          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o(a) substituto(a) interino(a) quando o Estatuto não dispuser em contrári</w:t>
      </w:r>
      <w:r w:rsidDel="00000000" w:rsidR="00000000" w:rsidRPr="00000000">
        <w:rPr>
          <w:rFonts w:ascii="Arial" w:cs="Arial" w:eastAsia="Arial" w:hAnsi="Arial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200" w:before="0" w:line="360" w:lineRule="auto"/>
        <w:ind w:left="720" w:right="23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º.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 casos omissos, cabe à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indicar o(a) substituto(a) interino(a).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200" w:line="360" w:lineRule="auto"/>
        <w:ind w:left="720" w:right="23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3º.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Será considerada “vacância” o afastamento injustificado do cargo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superior a 30 (trinta)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dias</w:t>
      </w:r>
      <w:r w:rsidDel="00000000" w:rsidR="00000000" w:rsidRPr="00000000">
        <w:rPr>
          <w:rFonts w:ascii="Gautami" w:cs="Gautami" w:eastAsia="Gautami" w:hAnsi="Gautami"/>
          <w:color w:val="0000ff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right="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27.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mandato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é de 1 (um) ano, com início em 1º de </w:t>
      </w:r>
      <w:r w:rsidDel="00000000" w:rsidR="00000000" w:rsidRPr="00000000">
        <w:rPr>
          <w:rFonts w:ascii="Arial" w:cs="Arial" w:eastAsia="Arial" w:hAnsi="Arial"/>
          <w:rtl w:val="0"/>
        </w:rPr>
        <w:t xml:space="preserve">agosto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 término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 a posse da nova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em 1º de </w:t>
      </w:r>
      <w:r w:rsidDel="00000000" w:rsidR="00000000" w:rsidRPr="00000000">
        <w:rPr>
          <w:rFonts w:ascii="Arial" w:cs="Arial" w:eastAsia="Arial" w:hAnsi="Arial"/>
          <w:rtl w:val="0"/>
        </w:rPr>
        <w:t xml:space="preserve">agosto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do ano subsequente.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right="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spacing w:line="360" w:lineRule="auto"/>
        <w:ind w:left="720" w:right="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1º. </w:t>
      </w:r>
      <w:r w:rsidDel="00000000" w:rsidR="00000000" w:rsidRPr="00000000">
        <w:rPr>
          <w:rFonts w:ascii="Arial" w:cs="Arial" w:eastAsia="Arial" w:hAnsi="Arial"/>
          <w:rtl w:val="0"/>
        </w:rPr>
        <w:t xml:space="preserve">Caso dois líderes, em acordo, queiram trocar de cargo entre si, os mesmos podem fazer isso, sem convocar Assembleia Geral, contanto que respeitem o prazo mínimo de 6 meses de exercício do cargo. Caso esteja fora desse prazo tal troca de cargos deverá ser aprovada por uma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95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28.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Os(as) membros(as)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não receberão qualquer remuneração pelo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desempenho de suas funções, assegurado, no entanto, o direito de ressarcimento previsto no art. 12, inciso VI.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29.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à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administrar a 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de acordo com planejamento estratégico, visando ao cumprimento de seus objetivos, zelando pela conservação e correto emprego de seus bens móveis e imóveis;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preparar e apresentar relatório de Prestação de Contas e Balanço Geral sobre o exercício findo, para apresentação de parecer da nova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eleita e aprovação da Assembleia Geral;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homologar a admissão e desligamento de associados(as);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estabelecer critérios para execução de projetos e de processos relativos à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aprovar os convênios e termos de parceria previstos neste Estatuto;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instaurar e instruir processos referentes às infrações cometidas por qualquer associado(a);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deliberar sobre as atividades da DatAí Consultoria, salvo assuntos de competência exclusiva Assembleia Geral;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convocar a Assembleia Geral nos termos deste Estatuto;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elaborar o Regimento Interno a ser aprovado pela Assembleia Geral;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resolver os casos não previstos neste Estatuto.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decisões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serão tomadas por voto majoritário, com a presença de mais da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metade dos(as)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em exercício. Em caso de empate, o ponto de pauta será reapreciado em nova votação e, não havendo resolução, será direcionado para decisão da Assembleia Geral na sessão subsequente.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spacing w:after="20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2º.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administração da 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a todos(as) os(as)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conjunta e isoladamente, com as atribuições previstas neste Estatuto.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30.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ao(à) Presidente:</w:t>
      </w:r>
      <w:bookmarkStart w:colFirst="0" w:colLast="0" w:name="17dp8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tabs>
          <w:tab w:val="left" w:leader="none" w:pos="720"/>
        </w:tabs>
        <w:spacing w:after="200" w:line="360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epresentar a 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judicial ou extrajudicialmente, ativa e passivamente, podendo constituir representante, quando necessário;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realizar a gestão interna da Empresa;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convocar reuniões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convocar e presidir a Assembleia Geral para reuniões ordinárias e extraordinárias e fazer cumprir suas decisões;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representar a DatAí Consultoria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frente ao Movimento Empresa Júnior;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realizar a gestão dos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stakeholders </w:t>
      </w:r>
      <w:r w:rsidDel="00000000" w:rsidR="00000000" w:rsidRPr="00000000">
        <w:rPr>
          <w:rFonts w:ascii="Gautami" w:cs="Gautami" w:eastAsia="Gautami" w:hAnsi="Gautami"/>
          <w:i w:val="1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externos;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fomentar parcerias com empresas e associações do setor público e privado;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estruturar meios de divulgação da 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realizar a comunicação institucional da </w:t>
      </w:r>
      <w:r w:rsidDel="00000000" w:rsidR="00000000" w:rsidRPr="00000000">
        <w:rPr>
          <w:rFonts w:ascii="Gautami" w:cs="Gautami" w:eastAsia="Gautami" w:hAnsi="Gautami"/>
          <w:highlight w:val="yellow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estruturar o planejamento estratégico junto à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Executiva e encarregar-se do seu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cumprimento;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criar, modificar, extinguir processos de gestão interna em conformidade com o regimento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coordenar o processo eleitoral;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requisitar ao(à)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 Organização Empresarial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 qualquer tempo, documentação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comprobatória da DatAí Consultoria;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assinar cheques bancários, contratos, convênios e demais obrigações sociais, independentemente de anuência dos(as) demais diretores(as);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realizar movimentações bancárias, pagamentos e recebimentos, independentemente de anuência dos(as) demais diretores(as);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contratar serviços profissionais de terceiros com anuência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tabs>
          <w:tab w:val="left" w:leader="none" w:pos="720"/>
        </w:tabs>
        <w:spacing w:after="200" w:before="0" w:line="360" w:lineRule="auto"/>
        <w:ind w:left="720" w:right="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outras funções delegadas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Executiva e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tabs>
          <w:tab w:val="left" w:leader="none" w:pos="720"/>
        </w:tabs>
        <w:spacing w:after="2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aprovar os contratos dos serviços elaborados pelos(as) demais membros(as) da Liderança Executiva;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spacing w:after="2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autorizar todas as despesas necessárias ao desempenho das finalidades da DatAí Consultoria;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31.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ao(à)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de Atendimento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tabs>
          <w:tab w:val="left" w:leader="none" w:pos="720"/>
        </w:tabs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conduzir processos de negociação a serem convertidos em projetos;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tabs>
          <w:tab w:val="left" w:leader="none" w:pos="720"/>
        </w:tabs>
        <w:spacing w:after="20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aprovar a proposta de serviço, a precificação e o contrato de serviço;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tabs>
          <w:tab w:val="left" w:leader="none" w:pos="720"/>
        </w:tabs>
        <w:spacing w:after="20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manter o contato com o(a)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tabs>
          <w:tab w:val="left" w:leader="none" w:pos="720"/>
        </w:tabs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outras funções delegadas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Executiva e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32.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ao(à)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de Organização-Empresarial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0"/>
          <w:numId w:val="27"/>
        </w:numPr>
        <w:spacing w:after="20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dirigir os serviços de secretaria em geral, inclusive o arquivo;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MT" w:cs="ArialMT" w:eastAsia="ArialMT" w:hAnsi="ArialMT"/>
          <w:vertAlign w:val="baseline"/>
          <w:rtl w:val="0"/>
        </w:rPr>
        <w:t xml:space="preserve">manter a guarda e a escritura das atas e listas de presenças;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organizar e manter os termos de voluntariado atualizados dos(as) membros(as) da DatAí Consultoria;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administrar o fluxo financeiro da DatAí Consultoria e responsabilizar-se pelos recursos enquanto não lhes for dado o destino regulamentar;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providenciar os Balancetes, e apresentá-los à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apresentar o Balanço Anual e outras demonstrações financeiras da DatAí Consultoria para a apreciação da Assembleia Geral;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irigir e fiscalizar os trabalhos da tesouraria e da contabilidade;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manter o patrimônio financeiro da DatAí Consultoria em estabelecimento de crédito comercial idôneo, em conta nominal da DatAí Consultoria;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contratar serviços profissionais de terceiros com anuência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redigir o contrato dos serviços, contendo as obrigações de ambas as partes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assinar contratos (exceto contratos de serviço ou contratos pro-bono), convênios e demais obrigações sociais, independentemente de anuência dos(as) demais diretores(as);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adequar a empresa para a LGPD, locais que as informações serão guardados, e quem tem acesso ao 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automatizar tarefas para diminuir o próprio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7"/>
        </w:numPr>
        <w:spacing w:after="2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outras funções delegadas pela Liderança Executiva e Assembleia Geral.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33.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ao(à)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de Pesquisa e Desenvolvimento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spacing w:after="20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coordenar e verificar o desenvolvimento dos projetos;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auxiliar as equipes na organização de cronogramas e planos de 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monitorar a qualidade dos projetos e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organizar grupos de estudo e pesquisa vinculados aos conhecimentos necessários para o desenvolvimento de projetos;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spacing w:after="20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outras funções delegadas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e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34.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ao(à)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de Talentos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tabs>
          <w:tab w:val="left" w:leader="none" w:pos="720"/>
        </w:tabs>
        <w:spacing w:after="200" w:line="360" w:lineRule="auto"/>
        <w:ind w:left="720" w:hanging="152.9999999999999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manter o cadastro e controle das informações relativas ao quadro de associados(as);</w:t>
      </w:r>
    </w:p>
    <w:p w:rsidR="00000000" w:rsidDel="00000000" w:rsidP="00000000" w:rsidRDefault="00000000" w:rsidRPr="00000000" w14:paraId="0000010E">
      <w:pPr>
        <w:numPr>
          <w:ilvl w:val="0"/>
          <w:numId w:val="29"/>
        </w:numPr>
        <w:tabs>
          <w:tab w:val="left" w:leader="none" w:pos="720"/>
        </w:tabs>
        <w:spacing w:after="200" w:line="360" w:lineRule="auto"/>
        <w:ind w:left="720" w:hanging="152.9999999999999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alocar os(as) associados(as) nas diferentes áreas dentro da empresa;</w:t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tabs>
          <w:tab w:val="left" w:leader="none" w:pos="720"/>
        </w:tabs>
        <w:spacing w:after="200" w:line="360" w:lineRule="auto"/>
        <w:ind w:left="720" w:hanging="152.99999999999997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organizar e acompanhar a execução do processo seletivo e o programa trainee;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tabs>
          <w:tab w:val="left" w:leader="none" w:pos="720"/>
        </w:tabs>
        <w:spacing w:after="200" w:line="360" w:lineRule="auto"/>
        <w:ind w:left="720" w:hanging="152.99999999999997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prezar pela gestão do conhecimento;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9"/>
        </w:numPr>
        <w:tabs>
          <w:tab w:val="left" w:leader="none" w:pos="720"/>
        </w:tabs>
        <w:spacing w:after="200" w:line="360" w:lineRule="auto"/>
        <w:ind w:left="720" w:hanging="152.99999999999997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promover e incentivar melhorias na cultura organizacional;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9"/>
        </w:numPr>
        <w:tabs>
          <w:tab w:val="left" w:leader="none" w:pos="720"/>
        </w:tabs>
        <w:spacing w:after="200" w:line="360" w:lineRule="auto"/>
        <w:ind w:left="720" w:hanging="152.99999999999997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outras funções delegadas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e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35.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Compete ao(à)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de Imagem e Publicidade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20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zelar pela boa imagem da DatAí Consultoria perante a sociedade, garantindo 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divulgação de seus objetivos conforme disposto no artigo 3º deste Estatuto;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gerenciar a marca da DatAí Consultoria, observando as disposições deste instrumento, e definindo ações de marketing e comunicação para garantir o posicionamento adequado da Empresa Júnior no MEJ e no Instituto de Educação Superior de Brasília – IESB;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atender as demandas de comunicação das demais partes da DatAí Consultoria;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gerenciar o conteúdo do site e demais meios de comunicação utilizados pela DatAí Consultoria;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assinar correspondências e publicações da DatAí Consultoria;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200" w:before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garantir que nenhum dado que vá à público infrinja a LGPD de alguma forma;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0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outras funções delegadas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e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36.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Assembleia Geral poderá destituir o(a)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ou presidente, em assembleia geral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especialmente convocada para este fim, por deliberação de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2/3 (dois terços)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dos presentes, que, no exercício de seu cargo, falhar em cumprir com suas atribuições ou comprometer o bom funcionamento das atividades da DatAí Consultoria por meio de sua ação ou omissão, assegurado o devido processo legal.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Aplicam-se as disposições do artigo 26 em caso de destituição do(a) presidente ou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PROCESSO ELEITORAL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360" w:lineRule="auto"/>
        <w:ind w:right="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37.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Todas as eleições serão realizadas mediante voto secreto, estando assegurado a toda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associado(a) efetivo(a) o direito de votar e ser votado(a), desde que esteja em dia com suas obrigações estatutárias, observadas as demais condições deste Estatuto.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360" w:lineRule="auto"/>
        <w:ind w:right="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38.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data das eleições será definida em Assembleia Geral e divulgada por meio de edital com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uma antecedência mínima de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30 (trinta) dias</w:t>
      </w:r>
      <w:r w:rsidDel="00000000" w:rsidR="00000000" w:rsidRPr="00000000">
        <w:rPr>
          <w:rFonts w:ascii="Gautami" w:cs="Gautami" w:eastAsia="Gautami" w:hAnsi="Gautami"/>
          <w:color w:val="0000ff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39.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resultado da eleição será divulgado imediatamente após o encerramento do pleito.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40.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forma do Processo Eleitoral será normatizada no Regimento Interno.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4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REGISTROS SOCIAIS E CONTÁBEIS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41.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DatAí Consultoria deverá possuir os seguintes registros: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tabs>
          <w:tab w:val="left" w:leader="none" w:pos="720"/>
        </w:tabs>
        <w:spacing w:after="200" w:line="360" w:lineRule="auto"/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Termos de Voluntariado de Associados(as);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tabs>
          <w:tab w:val="left" w:leader="none" w:pos="720"/>
        </w:tabs>
        <w:spacing w:after="200" w:line="360" w:lineRule="auto"/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Atas das Assembleias Gerais;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tabs>
          <w:tab w:val="left" w:leader="none" w:pos="720"/>
        </w:tabs>
        <w:spacing w:after="200" w:line="360" w:lineRule="auto"/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Atas das Reuniões da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Executiva;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tabs>
          <w:tab w:val="left" w:leader="none" w:pos="720"/>
        </w:tabs>
        <w:spacing w:after="200" w:line="360" w:lineRule="auto"/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Presença dos(as) Associados(as) em Assembleias;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200" w:line="360" w:lineRule="auto"/>
        <w:ind w:left="0" w:firstLine="28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Candidaturas a cargos eletivos; 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tabs>
          <w:tab w:val="left" w:leader="none" w:pos="720"/>
        </w:tabs>
        <w:spacing w:after="200" w:line="360" w:lineRule="auto"/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Contábeis e fiscais.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É facultada a adoção de livros, fichas ou processamento eletrônico de dados.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right="4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4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4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4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4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4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right="4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VIII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DISSOLUÇÃO DA DATAÍ CONSULTORI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</w:p>
    <w:p w:rsidR="00000000" w:rsidDel="00000000" w:rsidP="00000000" w:rsidRDefault="00000000" w:rsidRPr="00000000" w14:paraId="0000014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rt. 42.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DatAí Consultoria somente dissolver-se-á após votação unânime em Assembleia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Geral Extraordinária, convocada especialmente para este fim, não podendo esta deliberar sem a presença da maioria absoluta dos(as) associados(as) em pleno gozo de seus direitos.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360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Dissolvida a DatAí Consultoria, os bens remanescentes de seu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Patrimônio Social serão destinados de acordo com o que estabelecer a Assembleia que deliberar a dissolução, observada a legislação vigente no país, resguardados os direitos de terceiros.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CAPÍTULO 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2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360" w:lineRule="auto"/>
        <w:ind w:right="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43.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DatAí Consultoria não responderá pelos atos, danos ou prejuízos, quando não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estiverem vinculados à atividade exercida em nome da Empresa Júnior, ou exercida fora da competência do(a) agente, que seus(suas) associados(as), clientes ou parceiros(as), vierem a causar a terceiros.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360" w:lineRule="auto"/>
        <w:ind w:right="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44.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disposições do presente Estatuto serão complementadas por meio de Regimento Interno,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apresentado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Liderança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Executiva e aprovado por deliberação em Assembleia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360" w:lineRule="auto"/>
        <w:ind w:right="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45.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DatAí Consultoria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poderá ser representada por procurador(a), desde que 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procuração especifique os poderes e tenha prazo de validade limitado ao ano civil, com exceção da procuração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ad judicia</w:t>
      </w:r>
      <w:r w:rsidDel="00000000" w:rsidR="00000000" w:rsidRPr="00000000">
        <w:rPr>
          <w:rFonts w:ascii="Gautami" w:cs="Gautami" w:eastAsia="Gautami" w:hAnsi="Gautami"/>
          <w:i w:val="1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qual poderá ter validade por período indeterminado.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360" w:lineRule="auto"/>
        <w:ind w:right="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46.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Estatuto poderá ser reformado, a qualquer tempo, inclusive no tocante à administração,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por Assembleia Geral convocada especialmente para esta finalidade, como expresso no artigo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Art. 47. </w:t>
      </w:r>
      <w:r w:rsidDel="00000000" w:rsidR="00000000" w:rsidRPr="00000000">
        <w:rPr>
          <w:rFonts w:ascii="Gautami" w:cs="Gautami" w:eastAsia="Gautami" w:hAnsi="Gautami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Estatuto entra em vigor na data de sua aprovação.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presente estatuto foi objeto de aprovação de seus associados em Assembleia Geral Extraordinária, realizada no dia </w:t>
      </w:r>
      <w:r w:rsidDel="00000000" w:rsidR="00000000" w:rsidRPr="00000000">
        <w:rPr>
          <w:rFonts w:ascii="Arial" w:cs="Arial" w:eastAsia="Arial" w:hAnsi="Arial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Agosto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no Instituto de Educação Superior de Brasília – IESB.</w:t>
      </w: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973" w:top="1427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autami"/>
  <w:font w:name="Arial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5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§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upperRoman"/>
      <w:lvlText w:val="%1."/>
      <w:lvlJc w:val="righ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35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§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§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35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61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3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§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§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Roman"/>
      <w:lvlText w:val="%1."/>
      <w:lvlJc w:val="righ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5">
    <w:lvl w:ilvl="0">
      <w:start w:val="61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6">
    <w:lvl w:ilvl="0">
      <w:start w:val="1"/>
      <w:numFmt w:val="bullet"/>
      <w:lvlText w:val="§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9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1">
    <w:lvl w:ilvl="0">
      <w:start w:val="1"/>
      <w:numFmt w:val="bullet"/>
      <w:lvlText w:val="§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