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REPORTE CIENTÍFICO DE PROYECTO</w:t>
      </w:r>
    </w:p>
    <w:p w:rsidR="00000000" w:rsidDel="00000000" w:rsidP="00000000" w:rsidRDefault="00000000" w:rsidRPr="00000000" w14:paraId="00000003">
      <w:pPr>
        <w:tabs>
          <w:tab w:val="left" w:leader="none" w:pos="3834"/>
        </w:tabs>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298450</wp:posOffset>
                </wp:positionH>
                <wp:positionV relativeFrom="paragraph">
                  <wp:posOffset>305388</wp:posOffset>
                </wp:positionV>
                <wp:extent cx="1819695" cy="1629485"/>
                <wp:effectExtent b="0" l="0" r="0" t="0"/>
                <wp:wrapNone/>
                <wp:docPr id="14" name=""/>
                <a:graphic>
                  <a:graphicData uri="http://schemas.microsoft.com/office/word/2010/wordprocessingShape">
                    <wps:wsp>
                      <wps:cNvSpPr/>
                      <wps:cNvPr id="3" name="Shape 3"/>
                      <wps:spPr>
                        <a:xfrm>
                          <a:off x="4448853" y="2979900"/>
                          <a:ext cx="1794295" cy="1600200"/>
                        </a:xfrm>
                        <a:prstGeom prst="rect">
                          <a:avLst/>
                        </a:prstGeom>
                        <a:solidFill>
                          <a:schemeClr val="lt1"/>
                        </a:solidFill>
                        <a:ln cap="flat" cmpd="sng" w="12700">
                          <a:solidFill>
                            <a:schemeClr val="dk1"/>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2060"/>
                                <w:sz w:val="24"/>
                                <w:vertAlign w:val="baseline"/>
                              </w:rPr>
                              <w:t xml:space="preserve">Logotipo del concurso donde participas:</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Arial" w:cs="Arial" w:eastAsia="Arial" w:hAnsi="Arial"/>
                                <w:b w:val="0"/>
                                <w:i w:val="0"/>
                                <w:smallCaps w:val="0"/>
                                <w:strike w:val="0"/>
                                <w:color w:val="002060"/>
                                <w:sz w:val="24"/>
                                <w:vertAlign w:val="baseline"/>
                              </w:rPr>
                            </w:r>
                            <w:r w:rsidDel="00000000" w:rsidR="00000000" w:rsidRPr="00000000">
                              <w:rPr>
                                <w:rFonts w:ascii="Arial" w:cs="Arial" w:eastAsia="Arial" w:hAnsi="Arial"/>
                                <w:b w:val="0"/>
                                <w:i w:val="0"/>
                                <w:smallCaps w:val="0"/>
                                <w:strike w:val="0"/>
                                <w:color w:val="002060"/>
                                <w:sz w:val="20"/>
                                <w:vertAlign w:val="baseline"/>
                              </w:rPr>
                              <w:t xml:space="preserve">Código Ciencia Jalisco, Guanajuato</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Arial" w:cs="Arial" w:eastAsia="Arial" w:hAnsi="Arial"/>
                                <w:b w:val="0"/>
                                <w:i w:val="0"/>
                                <w:smallCaps w:val="0"/>
                                <w:strike w:val="0"/>
                                <w:color w:val="002060"/>
                                <w:sz w:val="20"/>
                                <w:vertAlign w:val="baseline"/>
                              </w:rPr>
                            </w:r>
                            <w:r w:rsidDel="00000000" w:rsidR="00000000" w:rsidRPr="00000000">
                              <w:rPr>
                                <w:rFonts w:ascii="Arial" w:cs="Arial" w:eastAsia="Arial" w:hAnsi="Arial"/>
                                <w:b w:val="0"/>
                                <w:i w:val="0"/>
                                <w:smallCaps w:val="0"/>
                                <w:strike w:val="0"/>
                                <w:color w:val="002060"/>
                                <w:sz w:val="20"/>
                                <w:vertAlign w:val="baseline"/>
                              </w:rPr>
                              <w:t xml:space="preserve">Infomatrix</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Arial" w:cs="Arial" w:eastAsia="Arial" w:hAnsi="Arial"/>
                                <w:b w:val="0"/>
                                <w:i w:val="0"/>
                                <w:smallCaps w:val="0"/>
                                <w:strike w:val="0"/>
                                <w:color w:val="002060"/>
                                <w:sz w:val="20"/>
                                <w:vertAlign w:val="baseline"/>
                              </w:rPr>
                            </w:r>
                            <w:r w:rsidDel="00000000" w:rsidR="00000000" w:rsidRPr="00000000">
                              <w:rPr>
                                <w:rFonts w:ascii="Arial" w:cs="Arial" w:eastAsia="Arial" w:hAnsi="Arial"/>
                                <w:b w:val="0"/>
                                <w:i w:val="0"/>
                                <w:smallCaps w:val="0"/>
                                <w:strike w:val="0"/>
                                <w:color w:val="002060"/>
                                <w:sz w:val="20"/>
                                <w:vertAlign w:val="baseline"/>
                              </w:rPr>
                              <w:t xml:space="preserve">Emprenday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2060"/>
                                <w:sz w:val="20"/>
                                <w:vertAlign w:val="baseline"/>
                              </w:rPr>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2060"/>
                                <w:sz w:val="2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298450</wp:posOffset>
                </wp:positionH>
                <wp:positionV relativeFrom="paragraph">
                  <wp:posOffset>305388</wp:posOffset>
                </wp:positionV>
                <wp:extent cx="1819695" cy="1629485"/>
                <wp:effectExtent b="0" l="0" r="0" t="0"/>
                <wp:wrapNone/>
                <wp:docPr id="1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19695" cy="1629485"/>
                        </a:xfrm>
                        <a:prstGeom prst="rect"/>
                        <a:ln/>
                      </pic:spPr>
                    </pic:pic>
                  </a:graphicData>
                </a:graphic>
              </wp:anchor>
            </w:drawing>
          </mc:Fallback>
        </mc:AlternateContent>
      </w:r>
    </w:p>
    <w:p w:rsidR="00000000" w:rsidDel="00000000" w:rsidP="00000000" w:rsidRDefault="00000000" w:rsidRPr="00000000" w14:paraId="00000004">
      <w:pPr>
        <w:tabs>
          <w:tab w:val="left" w:leader="none" w:pos="3834"/>
        </w:tabs>
        <w:ind w:firstLine="708"/>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3473450</wp:posOffset>
                </wp:positionH>
                <wp:positionV relativeFrom="paragraph">
                  <wp:posOffset>69850</wp:posOffset>
                </wp:positionV>
                <wp:extent cx="1748155" cy="1463654"/>
                <wp:effectExtent b="0" l="0" r="0" t="0"/>
                <wp:wrapNone/>
                <wp:docPr id="13" name=""/>
                <a:graphic>
                  <a:graphicData uri="http://schemas.microsoft.com/office/word/2010/wordprocessingShape">
                    <wps:wsp>
                      <wps:cNvSpPr/>
                      <wps:cNvPr id="2" name="Shape 2"/>
                      <wps:spPr>
                        <a:xfrm>
                          <a:off x="4484623" y="3060863"/>
                          <a:ext cx="1722755" cy="1438275"/>
                        </a:xfrm>
                        <a:prstGeom prst="rect">
                          <a:avLst/>
                        </a:prstGeom>
                        <a:solidFill>
                          <a:schemeClr val="lt1"/>
                        </a:solidFill>
                        <a:ln cap="flat" cmpd="sng" w="12700">
                          <a:solidFill>
                            <a:schemeClr val="dk1"/>
                          </a:solidFill>
                          <a:prstDash val="dash"/>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2060"/>
                                <w:sz w:val="24"/>
                                <w:vertAlign w:val="baseline"/>
                              </w:rPr>
                              <w:t xml:space="preserve">Logo o escudo de la escuela representada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3473450</wp:posOffset>
                </wp:positionH>
                <wp:positionV relativeFrom="paragraph">
                  <wp:posOffset>69850</wp:posOffset>
                </wp:positionV>
                <wp:extent cx="1748155" cy="1463654"/>
                <wp:effectExtent b="0" l="0" r="0" t="0"/>
                <wp:wrapNone/>
                <wp:docPr id="1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748155" cy="1463654"/>
                        </a:xfrm>
                        <a:prstGeom prst="rect"/>
                        <a:ln/>
                      </pic:spPr>
                    </pic:pic>
                  </a:graphicData>
                </a:graphic>
              </wp:anchor>
            </w:drawing>
          </mc:Fallback>
        </mc:AlternateContent>
      </w:r>
    </w:p>
    <w:p w:rsidR="00000000" w:rsidDel="00000000" w:rsidP="00000000" w:rsidRDefault="00000000" w:rsidRPr="00000000" w14:paraId="00000005">
      <w:pPr>
        <w:tabs>
          <w:tab w:val="left" w:leader="none" w:pos="3834"/>
        </w:tabs>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tabs>
          <w:tab w:val="left" w:leader="none" w:pos="3834"/>
        </w:tabs>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7">
      <w:pPr>
        <w:tabs>
          <w:tab w:val="left" w:leader="none" w:pos="3834"/>
        </w:tabs>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8">
      <w:pPr>
        <w:tabs>
          <w:tab w:val="left" w:leader="none" w:pos="3834"/>
        </w:tabs>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tabs>
          <w:tab w:val="left" w:leader="none" w:pos="3834"/>
        </w:tabs>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A">
      <w:pPr>
        <w:tabs>
          <w:tab w:val="left" w:leader="none" w:pos="3834"/>
        </w:tabs>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Nombre del Concurso</w:t>
      </w:r>
    </w:p>
    <w:p w:rsidR="00000000" w:rsidDel="00000000" w:rsidP="00000000" w:rsidRDefault="00000000" w:rsidRPr="00000000" w14:paraId="0000000B">
      <w:pPr>
        <w:tabs>
          <w:tab w:val="left" w:leader="none" w:pos="3834"/>
        </w:tabs>
        <w:jc w:val="center"/>
        <w:rPr>
          <w:rFonts w:ascii="Arial" w:cs="Arial" w:eastAsia="Arial" w:hAnsi="Arial"/>
          <w:b w:val="1"/>
          <w:bCs w:val="1"/>
          <w:color w:val="002060"/>
          <w:sz w:val="28"/>
          <w:szCs w:val="28"/>
        </w:rPr>
      </w:pPr>
      <w:r w:rsidDel="00000000" w:rsidR="00000000" w:rsidRPr="00000000">
        <w:rPr>
          <w:rFonts w:ascii="Arial" w:cs="Arial" w:eastAsia="Arial" w:hAnsi="Arial"/>
          <w:i w:val="1"/>
          <w:iCs w:val="1"/>
          <w:color w:val="002060"/>
          <w:sz w:val="28"/>
          <w:szCs w:val="28"/>
          <w:rtl w:val="0"/>
        </w:rPr>
        <w:t xml:space="preserve">Infomatrix Sudamérica Colombia 2026</w:t>
      </w:r>
      <w:r w:rsidDel="00000000" w:rsidR="00000000" w:rsidRPr="00000000">
        <w:rPr>
          <w:rtl w:val="0"/>
        </w:rPr>
      </w:r>
    </w:p>
    <w:p w:rsidR="00000000" w:rsidDel="00000000" w:rsidP="00000000" w:rsidRDefault="00000000" w:rsidRPr="00000000" w14:paraId="0000000C">
      <w:pPr>
        <w:tabs>
          <w:tab w:val="left" w:leader="none" w:pos="3834"/>
        </w:tabs>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tabs>
          <w:tab w:val="left" w:leader="none" w:pos="3834"/>
        </w:tabs>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Título del Proyecto</w:t>
      </w:r>
    </w:p>
    <w:p w:rsidR="00000000" w:rsidDel="00000000" w:rsidP="00000000" w:rsidRDefault="00000000" w:rsidRPr="00000000" w14:paraId="0000000E">
      <w:pPr>
        <w:tabs>
          <w:tab w:val="left" w:leader="none" w:pos="3834"/>
        </w:tabs>
        <w:jc w:val="center"/>
        <w:rPr>
          <w:rFonts w:ascii="Arial" w:cs="Arial" w:eastAsia="Arial" w:hAnsi="Arial"/>
          <w:i w:val="1"/>
          <w:iCs w:val="1"/>
          <w:color w:val="002060"/>
          <w:sz w:val="28"/>
          <w:szCs w:val="28"/>
        </w:rPr>
      </w:pPr>
      <w:r w:rsidDel="00000000" w:rsidR="00000000" w:rsidRPr="00000000">
        <w:rPr>
          <w:rFonts w:ascii="Arial" w:cs="Arial" w:eastAsia="Arial" w:hAnsi="Arial"/>
          <w:i w:val="1"/>
          <w:iCs w:val="1"/>
          <w:color w:val="002060"/>
          <w:sz w:val="28"/>
          <w:szCs w:val="28"/>
          <w:rtl w:val="0"/>
        </w:rPr>
        <w:t xml:space="preserve">ACPI</w:t>
      </w:r>
    </w:p>
    <w:p w:rsidR="00000000" w:rsidDel="00000000" w:rsidP="00000000" w:rsidRDefault="00000000" w:rsidRPr="00000000" w14:paraId="0000000F">
      <w:pPr>
        <w:tabs>
          <w:tab w:val="left" w:leader="none" w:pos="3834"/>
        </w:tabs>
        <w:jc w:val="center"/>
        <w:rPr>
          <w:rFonts w:ascii="Arial" w:cs="Arial" w:eastAsia="Arial" w:hAnsi="Arial"/>
          <w:i w:val="1"/>
          <w:iCs w:val="1"/>
          <w:color w:val="002060"/>
          <w:sz w:val="28"/>
          <w:szCs w:val="28"/>
        </w:rPr>
      </w:pPr>
      <w:r w:rsidDel="00000000" w:rsidR="00000000" w:rsidRPr="00000000">
        <w:rPr>
          <w:rFonts w:ascii="Arial" w:cs="Arial" w:eastAsia="Arial" w:hAnsi="Arial"/>
          <w:i w:val="1"/>
          <w:iCs w:val="1"/>
          <w:color w:val="002060"/>
          <w:sz w:val="28"/>
          <w:szCs w:val="28"/>
          <w:rtl w:val="0"/>
        </w:rPr>
        <w:t xml:space="preserve">(Asistente de Cruce Peatonal para Personas Invidentes)</w:t>
      </w:r>
    </w:p>
    <w:p w:rsidR="00000000" w:rsidDel="00000000" w:rsidP="00000000" w:rsidRDefault="00000000" w:rsidRPr="00000000" w14:paraId="00000011">
      <w:pPr>
        <w:tabs>
          <w:tab w:val="left" w:leader="none" w:pos="3834"/>
        </w:tabs>
        <w:jc w:val="right"/>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Núm de Proyecto:</w:t>
      </w:r>
      <w:r w:rsidDel="00000000" w:rsidR="00000000" w:rsidRPr="00000000">
        <w:rPr>
          <w:rFonts w:ascii="Arial" w:cs="Arial" w:eastAsia="Arial" w:hAnsi="Arial"/>
          <w:i w:val="1"/>
          <w:iCs w:val="1"/>
          <w:color w:val="ff0000"/>
          <w:sz w:val="28"/>
          <w:szCs w:val="28"/>
          <w:rtl w:val="0"/>
        </w:rPr>
        <w:t xml:space="preserve"> </w:t>
      </w:r>
      <w:r w:rsidDel="00000000" w:rsidR="00000000" w:rsidRPr="00000000">
        <w:rPr>
          <w:rtl w:val="0"/>
        </w:rPr>
      </w:r>
    </w:p>
    <w:p w:rsidR="00000000" w:rsidDel="00000000" w:rsidP="00000000" w:rsidRDefault="00000000" w:rsidRPr="00000000" w14:paraId="00000012">
      <w:pPr>
        <w:spacing w:after="0" w:line="360" w:lineRule="auto"/>
        <w:jc w:val="right"/>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Autor(es): </w:t>
      </w:r>
      <w:r w:rsidDel="00000000" w:rsidR="00000000" w:rsidRPr="00000000">
        <w:rPr>
          <w:rFonts w:ascii="Arial" w:cs="Arial" w:eastAsia="Arial" w:hAnsi="Arial"/>
          <w:i w:val="1"/>
          <w:iCs w:val="1"/>
          <w:color w:val="002060"/>
          <w:sz w:val="24"/>
          <w:szCs w:val="24"/>
          <w:rtl w:val="0"/>
        </w:rPr>
        <w:t xml:space="preserve">Edy Santiago Ávila Rincón</w:t>
      </w:r>
      <w:r w:rsidDel="00000000" w:rsidR="00000000" w:rsidRPr="00000000">
        <w:rPr>
          <w:rtl w:val="0"/>
        </w:rPr>
      </w:r>
    </w:p>
    <w:p w:rsidR="00000000" w:rsidDel="00000000" w:rsidP="00000000" w:rsidRDefault="00000000" w:rsidRPr="00000000" w14:paraId="00000012">
      <w:pPr>
        <w:spacing w:after="0" w:line="360" w:lineRule="auto"/>
        <w:jc w:val="right"/>
        <w:rPr>
          <w:rFonts w:ascii="Arial" w:cs="Arial" w:eastAsia="Arial" w:hAnsi="Arial"/>
          <w:i w:val="1"/>
          <w:iCs w:val="1"/>
          <w:sz w:val="24"/>
          <w:szCs w:val="24"/>
        </w:rPr>
      </w:pPr>
      <w:r w:rsidDel="00000000" w:rsidR="00000000" w:rsidRPr="00000000">
        <w:rPr>
          <w:rFonts w:ascii="Arial" w:cs="Arial" w:eastAsia="Arial" w:hAnsi="Arial"/>
          <w:i w:val="1"/>
          <w:iCs w:val="1"/>
          <w:color w:val="002060"/>
          <w:sz w:val="24"/>
          <w:szCs w:val="24"/>
          <w:rtl w:val="0"/>
        </w:rPr>
        <w:t xml:space="preserve">Andrea Carolina Cárdenas Rojas</w:t>
      </w:r>
      <w:r w:rsidDel="00000000" w:rsidR="00000000" w:rsidRPr="00000000">
        <w:rPr>
          <w:rtl w:val="0"/>
        </w:rPr>
      </w:r>
    </w:p>
    <w:p w:rsidR="00000000" w:rsidDel="00000000" w:rsidP="00000000" w:rsidRDefault="00000000" w:rsidRPr="00000000" w14:paraId="00000012">
      <w:pPr>
        <w:spacing w:after="0" w:line="360" w:lineRule="auto"/>
        <w:jc w:val="right"/>
        <w:rPr>
          <w:rFonts w:ascii="Arial" w:cs="Arial" w:eastAsia="Arial" w:hAnsi="Arial"/>
          <w:i w:val="1"/>
          <w:iCs w:val="1"/>
          <w:sz w:val="24"/>
          <w:szCs w:val="24"/>
        </w:rPr>
      </w:pPr>
      <w:r w:rsidDel="00000000" w:rsidR="00000000" w:rsidRPr="00000000">
        <w:rPr>
          <w:rFonts w:ascii="Arial" w:cs="Arial" w:eastAsia="Arial" w:hAnsi="Arial"/>
          <w:i w:val="1"/>
          <w:iCs w:val="1"/>
          <w:color w:val="002060"/>
          <w:sz w:val="24"/>
          <w:szCs w:val="24"/>
          <w:rtl w:val="0"/>
        </w:rPr>
        <w:t xml:space="preserve">Dilan Santiago Osorio Bernate</w:t>
      </w:r>
      <w:r w:rsidDel="00000000" w:rsidR="00000000" w:rsidRPr="00000000">
        <w:rPr>
          <w:rtl w:val="0"/>
        </w:rPr>
      </w:r>
    </w:p>
    <w:p w:rsidR="00000000" w:rsidDel="00000000" w:rsidP="00000000" w:rsidRDefault="00000000" w:rsidRPr="00000000" w14:paraId="00000012">
      <w:pPr>
        <w:spacing w:after="0" w:line="360" w:lineRule="auto"/>
        <w:jc w:val="right"/>
        <w:rPr>
          <w:rFonts w:ascii="Arial" w:cs="Arial" w:eastAsia="Arial" w:hAnsi="Arial"/>
          <w:i w:val="1"/>
          <w:iCs w:val="1"/>
          <w:sz w:val="24"/>
          <w:szCs w:val="24"/>
        </w:rPr>
      </w:pPr>
      <w:r w:rsidDel="00000000" w:rsidR="00000000" w:rsidRPr="00000000">
        <w:rPr>
          <w:rFonts w:ascii="Arial" w:cs="Arial" w:eastAsia="Arial" w:hAnsi="Arial"/>
          <w:i w:val="1"/>
          <w:iCs w:val="1"/>
          <w:color w:val="002060"/>
          <w:sz w:val="24"/>
          <w:szCs w:val="24"/>
          <w:rtl w:val="0"/>
        </w:rPr>
        <w:t xml:space="preserve">Nicolás Ernesto Rodríguez Avella</w:t>
      </w:r>
      <w:r w:rsidDel="00000000" w:rsidR="00000000" w:rsidRPr="00000000">
        <w:rPr>
          <w:rtl w:val="0"/>
        </w:rPr>
      </w:r>
    </w:p>
    <w:p w:rsidR="00000000" w:rsidDel="00000000" w:rsidP="00000000" w:rsidRDefault="00000000" w:rsidRPr="00000000" w14:paraId="00000013">
      <w:pPr>
        <w:spacing w:after="0" w:line="360" w:lineRule="auto"/>
        <w:jc w:val="right"/>
        <w:rPr>
          <w:rFonts w:ascii="Arial" w:cs="Arial" w:eastAsia="Arial" w:hAnsi="Arial"/>
          <w:i w:val="1"/>
          <w:iCs w:val="1"/>
          <w:color w:val="002060"/>
          <w:sz w:val="24"/>
          <w:szCs w:val="24"/>
        </w:rPr>
      </w:pPr>
      <w:r w:rsidDel="00000000" w:rsidR="00000000" w:rsidRPr="00000000">
        <w:rPr>
          <w:rFonts w:ascii="Arial" w:cs="Arial" w:eastAsia="Arial" w:hAnsi="Arial"/>
          <w:i w:val="1"/>
          <w:iCs w:val="1"/>
          <w:sz w:val="24"/>
          <w:szCs w:val="24"/>
          <w:rtl w:val="0"/>
        </w:rPr>
        <w:t xml:space="preserve">Asesor: </w:t>
      </w:r>
      <w:r w:rsidDel="00000000" w:rsidR="00000000" w:rsidRPr="00000000">
        <w:rPr>
          <w:rFonts w:ascii="Arial" w:cs="Arial" w:eastAsia="Arial" w:hAnsi="Arial"/>
          <w:i w:val="1"/>
          <w:iCs w:val="1"/>
          <w:color w:val="002060"/>
          <w:sz w:val="24"/>
          <w:szCs w:val="24"/>
          <w:rtl w:val="0"/>
        </w:rPr>
        <w:t xml:space="preserve">Felipe Andrés Barbosa Calvo </w:t>
      </w:r>
    </w:p>
    <w:p w:rsidR="00000000" w:rsidDel="00000000" w:rsidP="00000000" w:rsidRDefault="00000000" w:rsidRPr="00000000" w14:paraId="00000014">
      <w:pPr>
        <w:spacing w:after="0" w:line="360" w:lineRule="auto"/>
        <w:jc w:val="right"/>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Escuela:</w:t>
      </w:r>
      <w:r w:rsidDel="00000000" w:rsidR="00000000" w:rsidRPr="00000000">
        <w:rPr>
          <w:rFonts w:ascii="Arial" w:cs="Arial" w:eastAsia="Arial" w:hAnsi="Arial"/>
          <w:i w:val="1"/>
          <w:iCs w:val="1"/>
          <w:color w:val="002060"/>
          <w:sz w:val="24"/>
          <w:szCs w:val="24"/>
          <w:rtl w:val="0"/>
        </w:rPr>
        <w:t xml:space="preserve"> Escuela Tecnológica Instituto Técnico Central</w:t>
      </w:r>
      <w:r w:rsidDel="00000000" w:rsidR="00000000" w:rsidRPr="00000000">
        <w:rPr>
          <w:rtl w:val="0"/>
        </w:rPr>
      </w:r>
    </w:p>
    <w:p w:rsidR="00000000" w:rsidDel="00000000" w:rsidP="00000000" w:rsidRDefault="00000000" w:rsidRPr="00000000" w14:paraId="00000016">
      <w:pPr>
        <w:spacing w:after="0"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Nivel Educativo: </w:t>
      </w:r>
      <w:r w:rsidDel="00000000" w:rsidR="00000000" w:rsidRPr="00000000">
        <w:rPr>
          <w:rFonts w:ascii="Arial" w:cs="Arial" w:eastAsia="Arial" w:hAnsi="Arial"/>
          <w:color w:val="002060"/>
          <w:sz w:val="24"/>
          <w:szCs w:val="24"/>
          <w:rtl w:val="0"/>
        </w:rPr>
        <w:t xml:space="preserve">Bachillerato</w:t>
      </w:r>
      <w:r w:rsidDel="00000000" w:rsidR="00000000" w:rsidRPr="00000000">
        <w:rPr>
          <w:rtl w:val="0"/>
        </w:rPr>
      </w:r>
    </w:p>
    <w:p w:rsidR="00000000" w:rsidDel="00000000" w:rsidP="00000000" w:rsidRDefault="00000000" w:rsidRPr="00000000" w14:paraId="00000017">
      <w:pPr>
        <w:spacing w:after="0"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Categoría: </w:t>
      </w:r>
      <w:r w:rsidDel="00000000" w:rsidR="00000000" w:rsidRPr="00000000">
        <w:rPr>
          <w:rFonts w:ascii="Arial" w:cs="Arial" w:eastAsia="Arial" w:hAnsi="Arial"/>
          <w:color w:val="002060"/>
          <w:sz w:val="24"/>
          <w:szCs w:val="24"/>
          <w:rtl w:val="0"/>
        </w:rPr>
        <w:t xml:space="preserve">Mecatrónica - Robótica</w:t>
      </w:r>
      <w:r w:rsidDel="00000000" w:rsidR="00000000" w:rsidRPr="00000000">
        <w:rPr>
          <w:rtl w:val="0"/>
        </w:rPr>
      </w:r>
    </w:p>
    <w:p w:rsidR="00000000" w:rsidDel="00000000" w:rsidP="00000000" w:rsidRDefault="00000000" w:rsidRPr="00000000" w14:paraId="00000018">
      <w:pPr>
        <w:spacing w:after="0"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Sede: </w:t>
      </w:r>
      <w:r w:rsidDel="00000000" w:rsidR="00000000" w:rsidRPr="00000000">
        <w:rPr>
          <w:rFonts w:ascii="Arial" w:cs="Arial" w:eastAsia="Arial" w:hAnsi="Arial"/>
          <w:color w:val="ff0000"/>
          <w:sz w:val="24"/>
          <w:szCs w:val="24"/>
          <w:rtl w:val="0"/>
        </w:rPr>
        <w:t xml:space="preserve"/>
      </w:r>
      <w:r w:rsidDel="00000000" w:rsidR="00000000" w:rsidRPr="00000000">
        <w:rPr>
          <w:rtl w:val="0"/>
        </w:rPr>
      </w:r>
    </w:p>
    <w:p w:rsidR="00000000" w:rsidDel="00000000" w:rsidP="00000000" w:rsidRDefault="00000000" w:rsidRPr="00000000" w14:paraId="0000001A">
      <w:pPr>
        <w:tabs>
          <w:tab w:val="left" w:leader="none" w:pos="3834"/>
        </w:tabs>
        <w:jc w:val="right"/>
        <w:rPr>
          <w:rFonts w:ascii="Arial" w:cs="Arial" w:eastAsia="Arial" w:hAnsi="Arial"/>
          <w:i w:val="1"/>
          <w:iCs w:val="1"/>
          <w:color w:val="002060"/>
          <w:sz w:val="24"/>
          <w:szCs w:val="24"/>
        </w:rPr>
      </w:pPr>
      <w:r w:rsidDel="00000000" w:rsidR="00000000" w:rsidRPr="00000000">
        <w:rPr>
          <w:rFonts w:ascii="Arial" w:cs="Arial" w:eastAsia="Arial" w:hAnsi="Arial"/>
          <w:color w:val="002060"/>
          <w:sz w:val="24"/>
          <w:szCs w:val="24"/>
          <w:rtl w:val="0"/>
        </w:rPr>
        <w:t xml:space="preserve">Lugar y fecha: ____________, 11 al 13 de noviembre de 2026</w:t>
      </w:r>
      <w:r w:rsidDel="00000000" w:rsidR="00000000" w:rsidRPr="00000000">
        <w:rPr>
          <w:rFonts w:ascii="Arial" w:cs="Arial" w:eastAsia="Arial" w:hAnsi="Arial"/>
          <w:i w:val="1"/>
          <w:iCs w:val="1"/>
          <w:color w:val="002060"/>
          <w:sz w:val="24"/>
          <w:szCs w:val="24"/>
          <w:rtl w:val="0"/>
        </w:rPr>
        <w:t xml:space="preserve"> </w:t>
      </w:r>
    </w:p>
    <w:p w:rsidR="00000000" w:rsidDel="00000000" w:rsidP="00000000" w:rsidRDefault="00000000" w:rsidRPr="00000000" w14:paraId="0000001B">
      <w:pPr>
        <w:spacing w:after="0" w:line="36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36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360" w:lineRule="auto"/>
        <w:jc w:val="right"/>
        <w:rPr>
          <w:rFonts w:ascii="Arial" w:cs="Arial" w:eastAsia="Arial" w:hAnsi="Arial"/>
          <w:i w:val="1"/>
          <w:iCs w:val="1"/>
          <w:color w:val="002060"/>
          <w:sz w:val="24"/>
          <w:szCs w:val="24"/>
        </w:rPr>
      </w:pPr>
      <w:r w:rsidDel="00000000" w:rsidR="00000000" w:rsidRPr="00000000">
        <w:rPr>
          <w:rtl w:val="0"/>
        </w:rPr>
      </w:r>
    </w:p>
    <w:p w:rsidR="00000000" w:rsidDel="00000000" w:rsidP="00000000" w:rsidRDefault="00000000" w:rsidRPr="00000000" w14:paraId="0000001E">
      <w:pPr>
        <w:tabs>
          <w:tab w:val="left" w:leader="none" w:pos="3834"/>
        </w:tabs>
        <w:spacing w:after="0" w:line="360" w:lineRule="auto"/>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ACPI: Asistente de Cruce Peatonal para Personas Invidentes</w:t>
      </w:r>
    </w:p>
    <w:p w:rsidR="00000000" w:rsidDel="00000000" w:rsidP="00000000" w:rsidRDefault="00000000" w:rsidRPr="00000000" w14:paraId="0000001F">
      <w:pPr>
        <w:tabs>
          <w:tab w:val="left" w:leader="none" w:pos="3834"/>
        </w:tabs>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Resumen</w:t>
      </w:r>
    </w:p>
    <w:p w:rsidR="00000000" w:rsidDel="00000000" w:rsidP="00000000" w:rsidRDefault="00000000" w:rsidRPr="00000000" w14:paraId="00000020">
      <w:pPr>
        <w:tabs>
          <w:tab w:val="left" w:leader="none" w:pos="3834"/>
        </w:tabs>
        <w:spacing w:after="0" w:line="360" w:lineRule="auto"/>
        <w:jc w:val="center"/>
        <w:rPr>
          <w:rFonts w:ascii="Arial" w:cs="Arial" w:eastAsia="Arial" w:hAnsi="Arial"/>
          <w:b w:val="1"/>
          <w:bCs w:val="1"/>
          <w:sz w:val="24"/>
          <w:szCs w:val="24"/>
        </w:rPr>
      </w:pPr>
      <w:r w:rsidDel="00000000" w:rsidR="00000000" w:rsidRPr="00000000">
        <w:rPr>
          <w:rtl w:val="0"/>
        </w:rPr>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En la mayoría de los cruces, el semáforo solo entrega información visual, por lo que una persona con discapacidad visual debe adivinar el momento de cruzar o pedir ayuda a otras personas. ACPI (Asistente de Cruce Peatonal para Personas Invidentes) es un sistema de Internet de las Cosas (IoT) que busca que la persona sepa, sin depender de terceros, cuándo puede cruzar una calle con semáforo y si está orientada hacia el cruce.</w:t>
      </w:r>
    </w:p>
    <w:p>
      <w:pPr>
        <w:spacing w:after="0" w:before="0" w:line="360" w:lineRule="auto"/>
        <w:jc w:val="both"/>
        <w:rPr>
          <w:rFonts w:ascii="Arial" w:cs="Arial" w:eastAsia="Arial" w:hAnsi="Arial"/>
          <w:sz w:val="24"/>
          <w:szCs w:val="24"/>
        </w:rPr>
      </w:pP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El sistema tiene cuatro componentes: el brazalete, el semáforo, la aplicación móvil y la web. El semáforo transmite de forma inalámbrica, mediante el protocolo ESP-NOW y sin necesidad de internet, su orientación, su estado (cruce permitido o no) y el tiempo restante. El brazalete actúa como “traductor” de esa información: calcula su propia orientación con un acelerómetro y un magnetómetro, la compara con la del semáforo y la convierte en patrones de vibración que indican al usuario si debe esperar, si puede cruzar o hacia qué lado debe girar para quedar de frente al cruce. La aplicación móvil recibe los datos del brazalete por Bluetooth de bajo consumo (BLE) y los envía a la web, donde se muestran como telemetría.</w:t>
      </w:r>
    </w:p>
    <w:p>
      <w:pPr>
        <w:spacing w:after="0" w:before="0" w:line="360" w:lineRule="auto"/>
        <w:jc w:val="both"/>
        <w:rPr>
          <w:rFonts w:ascii="Arial" w:cs="Arial" w:eastAsia="Arial" w:hAnsi="Arial"/>
          <w:sz w:val="24"/>
          <w:szCs w:val="24"/>
        </w:rPr>
      </w:pP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El proyecto ha pasado por tres versiones. La primera usó una tarjeta micro:bit en una carcasa rígida de PLA; la segunda migró a un microcontrolador ESP32, y la actual integra en una placa de circuito impreso propia un ESP32-C3 Super Mini, los sensores de orientación, dos motores vibradores y la carga de la batería.</w:t>
      </w:r>
    </w:p>
    <w:p>
      <w:pPr>
        <w:spacing w:after="0" w:before="0" w:line="360" w:lineRule="auto"/>
        <w:jc w:val="both"/>
        <w:rPr>
          <w:rFonts w:ascii="Arial" w:cs="Arial" w:eastAsia="Arial" w:hAnsi="Arial"/>
          <w:sz w:val="24"/>
          <w:szCs w:val="24"/>
        </w:rPr>
      </w:pP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La evaluación sigue una metodología mixta en cinco fases: pruebas de los sensores, de los patrones de vibración (con señales del semáforo simuladas desde el monitor serial), de la comunicación inalámbrica, de la autonomía de la batería y, por último, un cruce simulado en el que se comparará cuántas veces la persona necesita ayuda de terceros con y sin el brazalete.</w:t>
      </w:r>
    </w:p>
    <w:p>
      <w:pPr>
        <w:spacing w:after="0" w:before="0" w:line="360" w:lineRule="auto"/>
        <w:jc w:val="both"/>
        <w:rPr>
          <w:rFonts w:ascii="Arial" w:cs="Arial" w:eastAsia="Arial" w:hAnsi="Arial"/>
          <w:sz w:val="24"/>
          <w:szCs w:val="24"/>
        </w:rPr>
      </w:pPr>
    </w:p>
    <w:p>
      <w:pPr>
        <w:spacing w:after="0" w:before="0" w:line="360" w:lineRule="auto"/>
        <w:jc w:val="both"/>
        <w:rPr>
          <w:rFonts w:ascii="Arial" w:cs="Arial" w:eastAsia="Arial" w:hAnsi="Arial"/>
          <w:sz w:val="24"/>
          <w:szCs w:val="24"/>
        </w:rPr>
      </w:pPr>
      <w:r>
        <w:rPr>
          <w:rFonts w:ascii="Arial" w:cs="Arial" w:eastAsia="Arial" w:hAnsi="Arial"/>
          <w:i w:val="1"/>
          <w:iCs w:val="1"/>
          <w:color w:val="ff0000"/>
          <w:sz w:val="24"/>
          <w:szCs w:val="24"/>
        </w:rPr>
        <w:t xml:space="preserve">[PENDIENTE: agregar los resultados principales y la conclusión cuando se realicen las pruebas. El resumen debe quedar entre 300 y 450 palabras.]</w:t>
      </w:r>
    </w:p>
    <w:p w:rsidR="00000000" w:rsidDel="00000000" w:rsidP="00000000" w:rsidRDefault="00000000" w:rsidRPr="00000000" w14:paraId="00000021">
      <w:pPr>
        <w:tabs>
          <w:tab w:val="left" w:leader="none" w:pos="3834"/>
        </w:tabs>
        <w:spacing w:after="0" w:line="360" w:lineRule="auto"/>
        <w:jc w:val="both"/>
        <w:rPr>
          <w:rFonts w:ascii="Arial" w:cs="Arial" w:eastAsia="Arial" w:hAnsi="Arial"/>
          <w:i w:val="1"/>
          <w:iCs w:val="1"/>
          <w:color w:val="002060"/>
          <w:sz w:val="24"/>
          <w:szCs w:val="24"/>
        </w:rPr>
        <w:sectPr>
          <w:headerReference r:id="rId8" w:type="default"/>
          <w:footerReference r:id="rId9" w:type="default"/>
          <w:pgSz w:h="15840" w:w="12240" w:orient="portrait"/>
          <w:pgMar w:bottom="1134" w:top="1417" w:left="1701" w:right="1701" w:header="708" w:footer="708"/>
          <w:pgNumType w:start="1"/>
        </w:sectPr>
      </w:pPr>
      <w:r w:rsidDel="00000000" w:rsidR="00000000" w:rsidRPr="00000000">
        <w:rPr>
          <w:rFonts w:ascii="Arial" w:cs="Arial" w:eastAsia="Arial" w:hAnsi="Arial"/>
          <w:color w:val="002060"/>
          <w:sz w:val="24"/>
          <w:szCs w:val="24"/>
          <w:rtl w:val="0"/>
        </w:rPr>
        <w:t xml:space="preserve"/>
      </w:r>
      <w:r w:rsidDel="00000000" w:rsidR="00000000" w:rsidRPr="00000000">
        <w:rPr>
          <w:rtl w:val="0"/>
        </w:rPr>
      </w: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1. INTRODUCCIÓN</w:t>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Cruzar una calle con semáforo es sencillo para la mayoría, pero para una persona con discapacidad visual es uno de los momentos más riesgosos de su desplazamiento, porque los semáforos suelen entregar solo información visual; en Bogotá, por ejemplo, se ha reportado un déficit de semáforos sonoros (CityTV, 2024). Sin una señal accesible, la persona debe adivinar cuándo cruzar o esperar a que alguien la ayude.</w:t>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El proyecto ACPI propone un brazalete que, mediante vibraciones, indique cuándo es seguro cruzar y si la persona está orientada hacia el cruce, con el objetivo de reducir su dependencia de otras personas. Sus limitaciones actuales son que el semáforo es un prototipo que simula el ciclo de luces, que el sistema atiende un solo semáforo a la vez y que las pruebas se hacen en un entorno controlado.</w:t>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El documento presenta el problema, la hipótesis y los objetivos; luego, el contexto teórico, la metodología, los resultados, su análisis y las conclusiones.</w:t>
      </w:r>
    </w:p>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1.1 Justificación</w:t>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El proyecto responde a la necesidad de mejorar la movilidad y la seguridad de las personas con discapacidad visual, cuyos derechos garantiza en Colombia la Ley Estatutaria 1618 de 2013 (Congreso de Colombia, 2013). Se fundamenta en la tecnología de asistencia y en el modelo social de la discapacidad, y convierte en vibraciones una información que hoy solo es visual. Su aporte es una alternativa portátil frente a soluciones que dependen de infraestructura urbana avanzada, como los semáforos sonoros.</w:t>
      </w:r>
    </w:p>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1.2 Problema</w:t>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Las personas con discapacidad visual tienen dificultades para saber cuándo cruzar una calle con semáforo y hacia dónde dirigirse, porque los semáforos no ofrecen señales accesibles; esto genera inseguridad y las obliga a depender de otras personas. Por lo tanto, se plantea: ¿cómo diseñar un sistema portátil que, mediante vibraciones, indique a una persona con discapacidad visual cuándo es seguro cruzar una calle con semáforo y si está orientada hacia el cruce?</w:t>
      </w:r>
    </w:p>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1.3 Hipótesis</w:t>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Si una persona con discapacidad visual usa el brazalete ACPI en un cruce con semáforo, necesitará pedir ayuda a otras personas menos veces para decidir cuándo cruzar y hacia dónde orientarse que cuando cruza sin el dispositivo.</w:t>
      </w:r>
    </w:p>
    <w:p>
      <w:pPr>
        <w:spacing w:after="0" w:before="0" w:line="360" w:lineRule="auto"/>
        <w:jc w:val="both"/>
        <w:rPr>
          <w:rFonts w:ascii="Arial" w:cs="Arial" w:eastAsia="Arial" w:hAnsi="Arial"/>
          <w:sz w:val="24"/>
          <w:szCs w:val="24"/>
        </w:rPr>
      </w:pPr>
      <w:r>
        <w:rPr>
          <w:rFonts w:ascii="Arial" w:cs="Arial" w:eastAsia="Arial" w:hAnsi="Arial"/>
          <w:i w:val="1"/>
          <w:iCs w:val="1"/>
          <w:color w:val="ff0000"/>
          <w:sz w:val="24"/>
          <w:szCs w:val="24"/>
        </w:rPr>
        <w:t xml:space="preserve">[PENDIENTE: hipótesis propuesta a partir del objetivo del proyecto; confirmarla.]</w:t>
      </w:r>
    </w:p>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1.4 Objetivos</w:t>
      </w:r>
    </w:p>
    <w:p>
      <w:pPr>
        <w:spacing w:after="0" w:before="0" w:line="360" w:lineRule="auto"/>
        <w:jc w:val="both"/>
        <w:rPr>
          <w:rFonts w:ascii="Arial" w:cs="Arial" w:eastAsia="Arial" w:hAnsi="Arial"/>
          <w:sz w:val="24"/>
          <w:szCs w:val="24"/>
        </w:rPr>
      </w:pPr>
      <w:r>
        <w:rPr>
          <w:rFonts w:ascii="Arial" w:cs="Arial" w:eastAsia="Arial" w:hAnsi="Arial"/>
          <w:b w:val="1"/>
          <w:bCs w:val="1"/>
          <w:color w:val="002060"/>
          <w:sz w:val="24"/>
          <w:szCs w:val="24"/>
        </w:rPr>
        <w:t xml:space="preserve">Objetivo general: </w:t>
      </w:r>
      <w:r>
        <w:rPr>
          <w:rFonts w:ascii="Arial" w:cs="Arial" w:eastAsia="Arial" w:hAnsi="Arial"/>
          <w:color w:val="002060"/>
          <w:sz w:val="24"/>
          <w:szCs w:val="24"/>
        </w:rPr>
        <w:t xml:space="preserve">diseñar y construir un sistema portátil que, mediante señales vibratorias, indique a una persona con discapacidad visual cuándo puede cruzar una calle con semáforo y si está orientada hacia el cruce, para reducir su dependencia de terceros.</w:t>
      </w:r>
    </w:p>
    <w:p>
      <w:pPr>
        <w:spacing w:after="0" w:before="0" w:line="360" w:lineRule="auto"/>
        <w:jc w:val="both"/>
        <w:rPr>
          <w:rFonts w:ascii="Arial" w:cs="Arial" w:eastAsia="Arial" w:hAnsi="Arial"/>
          <w:sz w:val="24"/>
          <w:szCs w:val="24"/>
        </w:rPr>
      </w:pPr>
      <w:r>
        <w:rPr>
          <w:rFonts w:ascii="Arial" w:cs="Arial" w:eastAsia="Arial" w:hAnsi="Arial"/>
          <w:b w:val="1"/>
          <w:bCs w:val="1"/>
          <w:color w:val="002060"/>
          <w:sz w:val="24"/>
          <w:szCs w:val="24"/>
        </w:rPr>
        <w:t xml:space="preserve">Objetivos específicos:</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Diseñar y fabricar un brazalete con placa de circuito impreso propia que integre microcontrolador, sensores de orientación, dos motores vibradores y batería recargable.</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Desarrollar un nodo de semáforo que transmita su orientación y su estado por ESP-NOW.</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Definir patrones de vibración fáciles de distinguir para cruce permitido, espera y corrección de dirección.</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Desarrollar la aplicación móvil y la web que registran la telemetría de uso.</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Evaluar el funcionamiento técnico del sistema y la capacidad de la persona para cruzar sin ayuda de terceros.</w:t>
      </w:r>
    </w:p>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2. CONTEXTO TEÓRICO</w:t>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La tecnología de asistencia es cualquier herramienta que mejora la funcionalidad de las personas con discapacidad (OMS, 2004). Este enfoque se relaciona con el modelo social de la discapacidad, según el cual las limitaciones no están en la persona, sino en un entorno que no la tiene en cuenta. Bajo esta mirada, ACPI busca eliminar una barrera del entorno urbano.</w:t>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Sus fundamentos técnicos son:</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b w:val="1"/>
          <w:bCs w:val="1"/>
          <w:color w:val="002060"/>
          <w:sz w:val="24"/>
          <w:szCs w:val="24"/>
        </w:rPr>
        <w:t xml:space="preserve">ESP32: </w:t>
      </w:r>
      <w:r>
        <w:rPr>
          <w:rFonts w:ascii="Arial" w:cs="Arial" w:eastAsia="Arial" w:hAnsi="Arial"/>
          <w:color w:val="002060"/>
          <w:sz w:val="24"/>
          <w:szCs w:val="24"/>
        </w:rPr>
        <w:t xml:space="preserve">familia de microcontroladores de Espressif con Wi-Fi y Bluetooth integrados y bajo consumo, apta para dispositivos portátiles (Espressif Systems, 2020). El brazalete usa el módulo ESP32-C3 Super Mini.</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b w:val="1"/>
          <w:bCs w:val="1"/>
          <w:color w:val="002060"/>
          <w:sz w:val="24"/>
          <w:szCs w:val="24"/>
        </w:rPr>
        <w:t xml:space="preserve">ESP-NOW: </w:t>
      </w:r>
      <w:r>
        <w:rPr>
          <w:rFonts w:ascii="Arial" w:cs="Arial" w:eastAsia="Arial" w:hAnsi="Arial"/>
          <w:color w:val="002060"/>
          <w:sz w:val="24"/>
          <w:szCs w:val="24"/>
        </w:rPr>
        <w:t xml:space="preserve">protocolo de Espressif que permite la comunicación directa entre dispositivos, sin router ni internet.</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b w:val="1"/>
          <w:bCs w:val="1"/>
          <w:color w:val="002060"/>
          <w:sz w:val="24"/>
          <w:szCs w:val="24"/>
        </w:rPr>
        <w:t xml:space="preserve">Bluetooth de bajo consumo (BLE): </w:t>
      </w:r>
      <w:r>
        <w:rPr>
          <w:rFonts w:ascii="Arial" w:cs="Arial" w:eastAsia="Arial" w:hAnsi="Arial"/>
          <w:color w:val="002060"/>
          <w:sz w:val="24"/>
          <w:szCs w:val="24"/>
        </w:rPr>
        <w:t xml:space="preserve">enlace de corto alcance y poco consumo entre el brazalete y el celular.</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b w:val="1"/>
          <w:bCs w:val="1"/>
          <w:color w:val="002060"/>
          <w:sz w:val="24"/>
          <w:szCs w:val="24"/>
        </w:rPr>
        <w:t xml:space="preserve">Magnetómetro y acelerómetro: </w:t>
      </w:r>
      <w:r>
        <w:rPr>
          <w:rFonts w:ascii="Arial" w:cs="Arial" w:eastAsia="Arial" w:hAnsi="Arial"/>
          <w:color w:val="002060"/>
          <w:sz w:val="24"/>
          <w:szCs w:val="24"/>
        </w:rPr>
        <w:t xml:space="preserve">el magnetómetro mide el campo magnético terrestre para calcular la orientación, como una brújula, y el acelerómetro mide la inclinación de la muñeca para corregir ese cálculo. El brazalete usa los módulos MPU9250 y GY-271.</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b w:val="1"/>
          <w:bCs w:val="1"/>
          <w:color w:val="002060"/>
          <w:sz w:val="24"/>
          <w:szCs w:val="24"/>
        </w:rPr>
        <w:t xml:space="preserve">Motores vibradores: </w:t>
      </w:r>
      <w:r>
        <w:rPr>
          <w:rFonts w:ascii="Arial" w:cs="Arial" w:eastAsia="Arial" w:hAnsi="Arial"/>
          <w:color w:val="002060"/>
          <w:sz w:val="24"/>
          <w:szCs w:val="24"/>
        </w:rPr>
        <w:t xml:space="preserve">actuadores pequeños que generan una señal táctil (háptica), comunes en celulares y relojes.</w:t>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Hay antecedentes similares: en España, la aplicación SeeLight avisa a personas ciegas cuando el semáforo está en verde (Fundación Montemadrid, 2015), y en Granada, LaBiN propuso semáforos accesibles con botones y sonidos (LaBiN Granada, s.f.). Estos sistemas dependen del celular o de infraestructura costosa. En ACPI, la decisión se toma en el brazalete, sin internet, y además se indica la orientación de la persona respecto al cruce.</w:t>
      </w:r>
    </w:p>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3. METODOLOGÍA EXPERIMENTAL</w:t>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La investigación tiene un enfoque mixto: cuantitativo para las mediciones técnicas y el conteo de solicitudes de ayuda, y cualitativo para la percepción de los participantes. Su alcance es descriptivo.</w:t>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El brazalete actual es la tercera versión del prototipo; las dos anteriores y las lecciones que dejaron se describen en los anexos.</w:t>
      </w:r>
    </w:p>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3.1 Funcionamiento del sistema</w:t>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El semáforo, al otro lado de la calle, mira hacia el peatón y transmite por ESP-NOW, dos veces por segundo, su orientación, si el cruce está permitido y el tiempo restante. Si el peatón mira hacia el cruce, ambas orientaciones son opuestas, es decir, difieren cerca de 180°; el firmware actual considera que está bien orientado si se aleja menos de 30° de ese valor.</w:t>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Con esa información, el brazalete elige uno de tres patrones de vibración: cruce permitido, espera o corrección de dirección, en la que vibra solo el motor del lado hacia el que la persona debe girar. Los patrones definitivos se fijarán en las pruebas, buscando que vibre solo cuando aporte información y no de forma continua.</w:t>
      </w:r>
    </w:p>
    <w:p>
      <w:pPr>
        <w:spacing w:after="0" w:before="0" w:line="360" w:lineRule="auto"/>
        <w:jc w:val="center"/>
        <w:rPr>
          <w:rFonts w:ascii="Arial" w:cs="Arial" w:eastAsia="Arial" w:hAnsi="Arial"/>
          <w:sz w:val="24"/>
          <w:szCs w:val="24"/>
        </w:rPr>
      </w:pPr>
      <w:r>
        <w:rPr>
          <w:rFonts w:ascii="Arial" w:cs="Arial" w:eastAsia="Arial" w:hAnsi="Arial"/>
          <w:i w:val="1"/>
          <w:iCs w:val="1"/>
          <w:color w:val="ff0000"/>
          <w:sz w:val="24"/>
          <w:szCs w:val="24"/>
        </w:rPr>
        <w:t xml:space="preserve">[Figura 1. Arquitectura del sistema ACPI. Insertar imagen]</w:t>
      </w:r>
    </w:p>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3.2 Materiales</w:t>
      </w:r>
    </w:p>
    <w:p>
      <w:pPr>
        <w:spacing w:after="0" w:before="0" w:line="360" w:lineRule="auto"/>
        <w:jc w:val="both"/>
        <w:rPr>
          <w:rFonts w:ascii="Arial" w:cs="Arial" w:eastAsia="Arial" w:hAnsi="Arial"/>
          <w:sz w:val="24"/>
          <w:szCs w:val="24"/>
        </w:rPr>
      </w:pPr>
      <w:r>
        <w:rPr>
          <w:rFonts w:ascii="Arial" w:cs="Arial" w:eastAsia="Arial" w:hAnsi="Arial"/>
          <w:b w:val="1"/>
          <w:bCs w:val="1"/>
          <w:color w:val="002060"/>
          <w:sz w:val="24"/>
          <w:szCs w:val="24"/>
        </w:rPr>
        <w:t xml:space="preserve">Brazalete: </w:t>
      </w:r>
      <w:r>
        <w:rPr>
          <w:rFonts w:ascii="Arial" w:cs="Arial" w:eastAsia="Arial" w:hAnsi="Arial"/>
          <w:color w:val="002060"/>
          <w:sz w:val="24"/>
          <w:szCs w:val="24"/>
        </w:rPr>
        <w:t xml:space="preserve">ESP32-C3 Super Mini, módulos MPU9250 y GY-271, dos motores vibradores, módulo de carga TP4056 y batería de litio, en una placa de circuito impreso propia (detalle en los anexos).</w:t>
      </w:r>
    </w:p>
    <w:p>
      <w:pPr>
        <w:spacing w:after="0" w:before="0" w:line="360" w:lineRule="auto"/>
        <w:jc w:val="both"/>
        <w:rPr>
          <w:rFonts w:ascii="Arial" w:cs="Arial" w:eastAsia="Arial" w:hAnsi="Arial"/>
          <w:sz w:val="24"/>
          <w:szCs w:val="24"/>
        </w:rPr>
      </w:pPr>
      <w:r>
        <w:rPr>
          <w:rFonts w:ascii="Arial" w:cs="Arial" w:eastAsia="Arial" w:hAnsi="Arial"/>
          <w:b w:val="1"/>
          <w:bCs w:val="1"/>
          <w:color w:val="002060"/>
          <w:sz w:val="24"/>
          <w:szCs w:val="24"/>
        </w:rPr>
        <w:t xml:space="preserve">Semáforo: </w:t>
      </w:r>
      <w:r>
        <w:rPr>
          <w:rFonts w:ascii="Arial" w:cs="Arial" w:eastAsia="Arial" w:hAnsi="Arial"/>
          <w:color w:val="002060"/>
          <w:sz w:val="24"/>
          <w:szCs w:val="24"/>
        </w:rPr>
        <w:t xml:space="preserve">ESP32 con magnetómetro y dos LED que simulan el ciclo de luces.</w:t>
      </w:r>
    </w:p>
    <w:p>
      <w:pPr>
        <w:spacing w:after="0" w:before="0" w:line="360" w:lineRule="auto"/>
        <w:jc w:val="both"/>
        <w:rPr>
          <w:rFonts w:ascii="Arial" w:cs="Arial" w:eastAsia="Arial" w:hAnsi="Arial"/>
          <w:sz w:val="24"/>
          <w:szCs w:val="24"/>
        </w:rPr>
      </w:pPr>
      <w:r>
        <w:rPr>
          <w:rFonts w:ascii="Arial" w:cs="Arial" w:eastAsia="Arial" w:hAnsi="Arial"/>
          <w:b w:val="1"/>
          <w:bCs w:val="1"/>
          <w:color w:val="002060"/>
          <w:sz w:val="24"/>
          <w:szCs w:val="24"/>
        </w:rPr>
        <w:t xml:space="preserve">Otros: </w:t>
      </w:r>
      <w:r>
        <w:rPr>
          <w:rFonts w:ascii="Arial" w:cs="Arial" w:eastAsia="Arial" w:hAnsi="Arial"/>
          <w:color w:val="002060"/>
          <w:sz w:val="24"/>
          <w:szCs w:val="24"/>
        </w:rPr>
        <w:t xml:space="preserve">celular Android con la aplicación, computador, brújula de referencia, cinta métrica y cronómetro.</w:t>
      </w:r>
    </w:p>
    <w:p>
      <w:pPr>
        <w:spacing w:after="0" w:before="0" w:line="360" w:lineRule="auto"/>
        <w:jc w:val="center"/>
        <w:rPr>
          <w:rFonts w:ascii="Arial" w:cs="Arial" w:eastAsia="Arial" w:hAnsi="Arial"/>
          <w:sz w:val="24"/>
          <w:szCs w:val="24"/>
        </w:rPr>
      </w:pPr>
      <w:r>
        <w:rPr>
          <w:rFonts w:ascii="Arial" w:cs="Arial" w:eastAsia="Arial" w:hAnsi="Arial"/>
          <w:i w:val="1"/>
          <w:iCs w:val="1"/>
          <w:color w:val="ff0000"/>
          <w:sz w:val="24"/>
          <w:szCs w:val="24"/>
        </w:rPr>
        <w:t xml:space="preserve">[Figura 2. Placa de circuito impreso del brazalete. Insertar imagen]</w:t>
      </w:r>
    </w:p>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3.3 Plan de pruebas</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b w:val="1"/>
          <w:bCs w:val="1"/>
          <w:color w:val="002060"/>
          <w:sz w:val="24"/>
          <w:szCs w:val="24"/>
        </w:rPr>
        <w:t xml:space="preserve">Fase 1, sensores: </w:t>
      </w:r>
      <w:r>
        <w:rPr>
          <w:rFonts w:ascii="Arial" w:cs="Arial" w:eastAsia="Arial" w:hAnsi="Arial"/>
          <w:color w:val="002060"/>
          <w:sz w:val="24"/>
          <w:szCs w:val="24"/>
        </w:rPr>
        <w:t xml:space="preserve">escaneo del bus I2C para confirmar las direcciones de los sensores y lectura de sus datos para verificar que responden al movimiento. La orientación calculada se compara con la brújula de referencia.</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b w:val="1"/>
          <w:bCs w:val="1"/>
          <w:color w:val="002060"/>
          <w:sz w:val="24"/>
          <w:szCs w:val="24"/>
        </w:rPr>
        <w:t xml:space="preserve">Fase 2, vibración: </w:t>
      </w:r>
      <w:r>
        <w:rPr>
          <w:rFonts w:ascii="Arial" w:cs="Arial" w:eastAsia="Arial" w:hAnsi="Arial"/>
          <w:color w:val="002060"/>
          <w:sz w:val="24"/>
          <w:szCs w:val="24"/>
        </w:rPr>
        <w:t xml:space="preserve">prueba de cada motor y envío de señales simuladas del semáforo desde el monitor serial para recorrer todos los casos: cruce permitido, espera y giro a la izquierda y a la derecha.</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b w:val="1"/>
          <w:bCs w:val="1"/>
          <w:color w:val="002060"/>
          <w:sz w:val="24"/>
          <w:szCs w:val="24"/>
        </w:rPr>
        <w:t xml:space="preserve">Fase 3, comunicación: </w:t>
      </w:r>
      <w:r>
        <w:rPr>
          <w:rFonts w:ascii="Arial" w:cs="Arial" w:eastAsia="Arial" w:hAnsi="Arial"/>
          <w:color w:val="002060"/>
          <w:sz w:val="24"/>
          <w:szCs w:val="24"/>
        </w:rPr>
        <w:t xml:space="preserve">medición del alcance de ESP-NOW y del porcentaje de paquetes perdidos entre el semáforo y el brazalete.</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b w:val="1"/>
          <w:bCs w:val="1"/>
          <w:color w:val="002060"/>
          <w:sz w:val="24"/>
          <w:szCs w:val="24"/>
        </w:rPr>
        <w:t xml:space="preserve">Fase 4, batería: </w:t>
      </w:r>
      <w:r>
        <w:rPr>
          <w:rFonts w:ascii="Arial" w:cs="Arial" w:eastAsia="Arial" w:hAnsi="Arial"/>
          <w:color w:val="002060"/>
          <w:sz w:val="24"/>
          <w:szCs w:val="24"/>
        </w:rPr>
        <w:t xml:space="preserve">tiempo de funcionamiento continuo con la batería cargada.</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b w:val="1"/>
          <w:bCs w:val="1"/>
          <w:color w:val="002060"/>
          <w:sz w:val="24"/>
          <w:szCs w:val="24"/>
        </w:rPr>
        <w:t xml:space="preserve">Fase 5, cruce simulado: </w:t>
      </w:r>
      <w:r>
        <w:rPr>
          <w:rFonts w:ascii="Arial" w:cs="Arial" w:eastAsia="Arial" w:hAnsi="Arial"/>
          <w:color w:val="002060"/>
          <w:sz w:val="24"/>
          <w:szCs w:val="24"/>
        </w:rPr>
        <w:t xml:space="preserve">en un espacio sin tráfico vehicular, cada participante cruza sin ver el semáforo, primero sin el brazalete y luego con él. Se registran las solicitudes de ayuda, los aciertos y el tiempo de decisión, y se aplica una breve encuesta de percepción.</w:t>
      </w:r>
    </w:p>
    <w:p>
      <w:pPr>
        <w:spacing w:after="0" w:before="0" w:line="360" w:lineRule="auto"/>
        <w:jc w:val="both"/>
        <w:rPr>
          <w:rFonts w:ascii="Arial" w:cs="Arial" w:eastAsia="Arial" w:hAnsi="Arial"/>
          <w:sz w:val="24"/>
          <w:szCs w:val="24"/>
        </w:rPr>
      </w:pPr>
      <w:r>
        <w:rPr>
          <w:rFonts w:ascii="Arial" w:cs="Arial" w:eastAsia="Arial" w:hAnsi="Arial"/>
          <w:i w:val="1"/>
          <w:iCs w:val="1"/>
          <w:color w:val="ff0000"/>
          <w:sz w:val="24"/>
          <w:szCs w:val="24"/>
        </w:rPr>
        <w:t xml:space="preserve">[PENDIENTE: confirmar los participantes de la fase 5: cuántos son y si tienen discapacidad visual o cruzan con los ojos vendados.]</w:t>
      </w:r>
    </w:p>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4. RESULTADOS</w:t>
      </w:r>
    </w:p>
    <w:p>
      <w:pPr>
        <w:spacing w:after="0" w:before="0" w:line="360" w:lineRule="auto"/>
        <w:jc w:val="both"/>
        <w:rPr>
          <w:rFonts w:ascii="Arial" w:cs="Arial" w:eastAsia="Arial" w:hAnsi="Arial"/>
          <w:sz w:val="24"/>
          <w:szCs w:val="24"/>
        </w:rPr>
      </w:pPr>
      <w:r>
        <w:rPr>
          <w:rFonts w:ascii="Arial" w:cs="Arial" w:eastAsia="Arial" w:hAnsi="Arial"/>
          <w:i w:val="1"/>
          <w:iCs w:val="1"/>
          <w:color w:val="ff0000"/>
          <w:sz w:val="24"/>
          <w:szCs w:val="24"/>
        </w:rPr>
        <w:t xml:space="preserve">[PENDIENTE: las pruebas aún no se han realizado. Completar la Tabla 1 y describir los resultados de cada fase.]</w:t>
      </w:r>
    </w:p>
    <w:p>
      <w:pPr>
        <w:keepNext/>
        <w:spacing w:after="60" w:before="0" w:line="240" w:lineRule="auto"/>
        <w:jc w:val="center"/>
        <w:rPr>
          <w:rFonts w:ascii="Arial" w:cs="Arial" w:eastAsia="Arial" w:hAnsi="Arial"/>
          <w:sz w:val="24"/>
          <w:szCs w:val="24"/>
        </w:rPr>
      </w:pPr>
      <w:r>
        <w:rPr>
          <w:rFonts w:ascii="Arial" w:cs="Arial" w:eastAsia="Arial" w:hAnsi="Arial"/>
          <w:b w:val="1"/>
          <w:bCs w:val="1"/>
          <w:color w:val="002060"/>
          <w:sz w:val="20"/>
          <w:szCs w:val="20"/>
        </w:rPr>
        <w:t xml:space="preserve">Tabla 1. Métricas de evaluación</w:t>
      </w:r>
    </w:p>
    <w:tbl>
      <w:tblPr>
        <w:tblW w:w="40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tblCellMar>
      </w:tblPr>
      <w:tblGrid>
        <w:gridCol w:w="1915"/>
        <w:gridCol w:w="900"/>
        <w:gridCol w:w="1250"/>
      </w:tblGrid>
      <w:tr>
        <w:trPr>
          <w:tblHeader/>
        </w:trPr>
        <w:tc>
          <w:tcPr>
            <w:tcW w:w="1915" w:type="dxa"/>
            <w:shd w:val="clear" w:color="auto" w:fill="D9E2F3"/>
          </w:tcPr>
          <w:p>
            <w:pPr>
              <w:spacing w:after="0" w:before="0" w:line="240" w:lineRule="auto"/>
            </w:pPr>
            <w:r>
              <w:rPr>
                <w:rFonts w:ascii="Arial" w:cs="Arial" w:eastAsia="Arial" w:hAnsi="Arial"/>
                <w:b w:val="1"/>
                <w:bCs w:val="1"/>
                <w:color w:val="002060"/>
                <w:sz w:val="20"/>
                <w:szCs w:val="20"/>
              </w:rPr>
              <w:t xml:space="preserve">Métrica</w:t>
            </w:r>
          </w:p>
        </w:tc>
        <w:tc>
          <w:tcPr>
            <w:tcW w:w="900" w:type="dxa"/>
            <w:shd w:val="clear" w:color="auto" w:fill="D9E2F3"/>
          </w:tcPr>
          <w:p>
            <w:pPr>
              <w:spacing w:after="0" w:before="0" w:line="240" w:lineRule="auto"/>
            </w:pPr>
            <w:r>
              <w:rPr>
                <w:rFonts w:ascii="Arial" w:cs="Arial" w:eastAsia="Arial" w:hAnsi="Arial"/>
                <w:b w:val="1"/>
                <w:bCs w:val="1"/>
                <w:color w:val="002060"/>
                <w:sz w:val="20"/>
                <w:szCs w:val="20"/>
              </w:rPr>
              <w:t xml:space="preserve">Unidad</w:t>
            </w:r>
          </w:p>
        </w:tc>
        <w:tc>
          <w:tcPr>
            <w:tcW w:w="1250" w:type="dxa"/>
            <w:shd w:val="clear" w:color="auto" w:fill="D9E2F3"/>
          </w:tcPr>
          <w:p>
            <w:pPr>
              <w:spacing w:after="0" w:before="0" w:line="240" w:lineRule="auto"/>
            </w:pPr>
            <w:r>
              <w:rPr>
                <w:rFonts w:ascii="Arial" w:cs="Arial" w:eastAsia="Arial" w:hAnsi="Arial"/>
                <w:b w:val="1"/>
                <w:bCs w:val="1"/>
                <w:color w:val="002060"/>
                <w:sz w:val="20"/>
                <w:szCs w:val="20"/>
              </w:rPr>
              <w:t xml:space="preserve">Resultado</w:t>
            </w:r>
          </w:p>
        </w:tc>
      </w:tr>
      <w:tr>
        <w:tc>
          <w:tcPr>
            <w:tcW w:w="1915" w:type="dxa"/>
          </w:tcPr>
          <w:p>
            <w:pPr>
              <w:spacing w:after="0" w:before="0" w:line="240" w:lineRule="auto"/>
            </w:pPr>
            <w:r>
              <w:rPr>
                <w:rFonts w:ascii="Arial" w:cs="Arial" w:eastAsia="Arial" w:hAnsi="Arial"/>
                <w:color w:val="002060"/>
                <w:sz w:val="20"/>
                <w:szCs w:val="20"/>
              </w:rPr>
              <w:t xml:space="preserve">Error de orientación frente a la brújula de referencia</w:t>
            </w:r>
          </w:p>
        </w:tc>
        <w:tc>
          <w:tcPr>
            <w:tcW w:w="900" w:type="dxa"/>
          </w:tcPr>
          <w:p>
            <w:pPr>
              <w:spacing w:after="0" w:before="0" w:line="240" w:lineRule="auto"/>
            </w:pPr>
            <w:r>
              <w:rPr>
                <w:rFonts w:ascii="Arial" w:cs="Arial" w:eastAsia="Arial" w:hAnsi="Arial"/>
                <w:color w:val="002060"/>
                <w:sz w:val="20"/>
                <w:szCs w:val="20"/>
              </w:rPr>
              <w:t xml:space="preserve">grados</w:t>
            </w:r>
          </w:p>
        </w:tc>
        <w:tc>
          <w:tcPr>
            <w:tcW w:w="1250" w:type="dxa"/>
          </w:tcPr>
          <w:p>
            <w:pPr>
              <w:spacing w:after="0" w:before="0" w:line="240" w:lineRule="auto"/>
            </w:pPr>
            <w:r>
              <w:rPr>
                <w:rFonts w:ascii="Arial" w:cs="Arial" w:eastAsia="Arial" w:hAnsi="Arial"/>
                <w:i w:val="1"/>
                <w:iCs w:val="1"/>
                <w:color w:val="ff0000"/>
                <w:sz w:val="20"/>
                <w:szCs w:val="20"/>
              </w:rPr>
              <w:t xml:space="preserve">pendiente</w:t>
            </w:r>
          </w:p>
        </w:tc>
      </w:tr>
      <w:tr>
        <w:tc>
          <w:tcPr>
            <w:tcW w:w="1915" w:type="dxa"/>
          </w:tcPr>
          <w:p>
            <w:pPr>
              <w:spacing w:after="0" w:before="0" w:line="240" w:lineRule="auto"/>
            </w:pPr>
            <w:r>
              <w:rPr>
                <w:rFonts w:ascii="Arial" w:cs="Arial" w:eastAsia="Arial" w:hAnsi="Arial"/>
                <w:color w:val="002060"/>
                <w:sz w:val="20"/>
                <w:szCs w:val="20"/>
              </w:rPr>
              <w:t xml:space="preserve">Casos de vibración correctos (fase 2)</w:t>
            </w:r>
          </w:p>
        </w:tc>
        <w:tc>
          <w:tcPr>
            <w:tcW w:w="900" w:type="dxa"/>
          </w:tcPr>
          <w:p>
            <w:pPr>
              <w:spacing w:after="0" w:before="0" w:line="240" w:lineRule="auto"/>
            </w:pPr>
            <w:r>
              <w:rPr>
                <w:rFonts w:ascii="Arial" w:cs="Arial" w:eastAsia="Arial" w:hAnsi="Arial"/>
                <w:color w:val="002060"/>
                <w:sz w:val="20"/>
                <w:szCs w:val="20"/>
              </w:rPr>
              <w:t xml:space="preserve">%</w:t>
            </w:r>
          </w:p>
        </w:tc>
        <w:tc>
          <w:tcPr>
            <w:tcW w:w="1250" w:type="dxa"/>
          </w:tcPr>
          <w:p>
            <w:pPr>
              <w:spacing w:after="0" w:before="0" w:line="240" w:lineRule="auto"/>
            </w:pPr>
            <w:r>
              <w:rPr>
                <w:rFonts w:ascii="Arial" w:cs="Arial" w:eastAsia="Arial" w:hAnsi="Arial"/>
                <w:i w:val="1"/>
                <w:iCs w:val="1"/>
                <w:color w:val="ff0000"/>
                <w:sz w:val="20"/>
                <w:szCs w:val="20"/>
              </w:rPr>
              <w:t xml:space="preserve">pendiente</w:t>
            </w:r>
          </w:p>
        </w:tc>
      </w:tr>
      <w:tr>
        <w:tc>
          <w:tcPr>
            <w:tcW w:w="1915" w:type="dxa"/>
          </w:tcPr>
          <w:p>
            <w:pPr>
              <w:spacing w:after="0" w:before="0" w:line="240" w:lineRule="auto"/>
            </w:pPr>
            <w:r>
              <w:rPr>
                <w:rFonts w:ascii="Arial" w:cs="Arial" w:eastAsia="Arial" w:hAnsi="Arial"/>
                <w:color w:val="002060"/>
                <w:sz w:val="20"/>
                <w:szCs w:val="20"/>
              </w:rPr>
              <w:t xml:space="preserve">Alcance de ESP-NOW</w:t>
            </w:r>
          </w:p>
        </w:tc>
        <w:tc>
          <w:tcPr>
            <w:tcW w:w="900" w:type="dxa"/>
          </w:tcPr>
          <w:p>
            <w:pPr>
              <w:spacing w:after="0" w:before="0" w:line="240" w:lineRule="auto"/>
            </w:pPr>
            <w:r>
              <w:rPr>
                <w:rFonts w:ascii="Arial" w:cs="Arial" w:eastAsia="Arial" w:hAnsi="Arial"/>
                <w:color w:val="002060"/>
                <w:sz w:val="20"/>
                <w:szCs w:val="20"/>
              </w:rPr>
              <w:t xml:space="preserve">m</w:t>
            </w:r>
          </w:p>
        </w:tc>
        <w:tc>
          <w:tcPr>
            <w:tcW w:w="1250" w:type="dxa"/>
          </w:tcPr>
          <w:p>
            <w:pPr>
              <w:spacing w:after="0" w:before="0" w:line="240" w:lineRule="auto"/>
            </w:pPr>
            <w:r>
              <w:rPr>
                <w:rFonts w:ascii="Arial" w:cs="Arial" w:eastAsia="Arial" w:hAnsi="Arial"/>
                <w:i w:val="1"/>
                <w:iCs w:val="1"/>
                <w:color w:val="ff0000"/>
                <w:sz w:val="20"/>
                <w:szCs w:val="20"/>
              </w:rPr>
              <w:t xml:space="preserve">pendiente</w:t>
            </w:r>
          </w:p>
        </w:tc>
      </w:tr>
      <w:tr>
        <w:tc>
          <w:tcPr>
            <w:tcW w:w="1915" w:type="dxa"/>
          </w:tcPr>
          <w:p>
            <w:pPr>
              <w:spacing w:after="0" w:before="0" w:line="240" w:lineRule="auto"/>
            </w:pPr>
            <w:r>
              <w:rPr>
                <w:rFonts w:ascii="Arial" w:cs="Arial" w:eastAsia="Arial" w:hAnsi="Arial"/>
                <w:color w:val="002060"/>
                <w:sz w:val="20"/>
                <w:szCs w:val="20"/>
              </w:rPr>
              <w:t xml:space="preserve">Paquetes perdidos</w:t>
            </w:r>
          </w:p>
        </w:tc>
        <w:tc>
          <w:tcPr>
            <w:tcW w:w="900" w:type="dxa"/>
          </w:tcPr>
          <w:p>
            <w:pPr>
              <w:spacing w:after="0" w:before="0" w:line="240" w:lineRule="auto"/>
            </w:pPr>
            <w:r>
              <w:rPr>
                <w:rFonts w:ascii="Arial" w:cs="Arial" w:eastAsia="Arial" w:hAnsi="Arial"/>
                <w:color w:val="002060"/>
                <w:sz w:val="20"/>
                <w:szCs w:val="20"/>
              </w:rPr>
              <w:t xml:space="preserve">%</w:t>
            </w:r>
          </w:p>
        </w:tc>
        <w:tc>
          <w:tcPr>
            <w:tcW w:w="1250" w:type="dxa"/>
          </w:tcPr>
          <w:p>
            <w:pPr>
              <w:spacing w:after="0" w:before="0" w:line="240" w:lineRule="auto"/>
            </w:pPr>
            <w:r>
              <w:rPr>
                <w:rFonts w:ascii="Arial" w:cs="Arial" w:eastAsia="Arial" w:hAnsi="Arial"/>
                <w:i w:val="1"/>
                <w:iCs w:val="1"/>
                <w:color w:val="ff0000"/>
                <w:sz w:val="20"/>
                <w:szCs w:val="20"/>
              </w:rPr>
              <w:t xml:space="preserve">pendiente</w:t>
            </w:r>
          </w:p>
        </w:tc>
      </w:tr>
      <w:tr>
        <w:tc>
          <w:tcPr>
            <w:tcW w:w="1915" w:type="dxa"/>
          </w:tcPr>
          <w:p>
            <w:pPr>
              <w:spacing w:after="0" w:before="0" w:line="240" w:lineRule="auto"/>
            </w:pPr>
            <w:r>
              <w:rPr>
                <w:rFonts w:ascii="Arial" w:cs="Arial" w:eastAsia="Arial" w:hAnsi="Arial"/>
                <w:color w:val="002060"/>
                <w:sz w:val="20"/>
                <w:szCs w:val="20"/>
              </w:rPr>
              <w:t xml:space="preserve">Autonomía de la batería</w:t>
            </w:r>
          </w:p>
        </w:tc>
        <w:tc>
          <w:tcPr>
            <w:tcW w:w="900" w:type="dxa"/>
          </w:tcPr>
          <w:p>
            <w:pPr>
              <w:spacing w:after="0" w:before="0" w:line="240" w:lineRule="auto"/>
            </w:pPr>
            <w:r>
              <w:rPr>
                <w:rFonts w:ascii="Arial" w:cs="Arial" w:eastAsia="Arial" w:hAnsi="Arial"/>
                <w:color w:val="002060"/>
                <w:sz w:val="20"/>
                <w:szCs w:val="20"/>
              </w:rPr>
              <w:t xml:space="preserve">h</w:t>
            </w:r>
          </w:p>
        </w:tc>
        <w:tc>
          <w:tcPr>
            <w:tcW w:w="1250" w:type="dxa"/>
          </w:tcPr>
          <w:p>
            <w:pPr>
              <w:spacing w:after="0" w:before="0" w:line="240" w:lineRule="auto"/>
            </w:pPr>
            <w:r>
              <w:rPr>
                <w:rFonts w:ascii="Arial" w:cs="Arial" w:eastAsia="Arial" w:hAnsi="Arial"/>
                <w:i w:val="1"/>
                <w:iCs w:val="1"/>
                <w:color w:val="ff0000"/>
                <w:sz w:val="20"/>
                <w:szCs w:val="20"/>
              </w:rPr>
              <w:t xml:space="preserve">pendiente</w:t>
            </w:r>
          </w:p>
        </w:tc>
      </w:tr>
      <w:tr>
        <w:tc>
          <w:tcPr>
            <w:tcW w:w="1915" w:type="dxa"/>
          </w:tcPr>
          <w:p>
            <w:pPr>
              <w:spacing w:after="0" w:before="0" w:line="240" w:lineRule="auto"/>
            </w:pPr>
            <w:r>
              <w:rPr>
                <w:rFonts w:ascii="Arial" w:cs="Arial" w:eastAsia="Arial" w:hAnsi="Arial"/>
                <w:color w:val="002060"/>
                <w:sz w:val="20"/>
                <w:szCs w:val="20"/>
              </w:rPr>
              <w:t xml:space="preserve">Solicitudes de ayuda sin el brazalete</w:t>
            </w:r>
          </w:p>
        </w:tc>
        <w:tc>
          <w:tcPr>
            <w:tcW w:w="900" w:type="dxa"/>
          </w:tcPr>
          <w:p>
            <w:pPr>
              <w:spacing w:after="0" w:before="0" w:line="240" w:lineRule="auto"/>
            </w:pPr>
            <w:r>
              <w:rPr>
                <w:rFonts w:ascii="Arial" w:cs="Arial" w:eastAsia="Arial" w:hAnsi="Arial"/>
                <w:color w:val="002060"/>
                <w:sz w:val="20"/>
                <w:szCs w:val="20"/>
              </w:rPr>
              <w:t xml:space="preserve">por cruce</w:t>
            </w:r>
          </w:p>
        </w:tc>
        <w:tc>
          <w:tcPr>
            <w:tcW w:w="1250" w:type="dxa"/>
          </w:tcPr>
          <w:p>
            <w:pPr>
              <w:spacing w:after="0" w:before="0" w:line="240" w:lineRule="auto"/>
            </w:pPr>
            <w:r>
              <w:rPr>
                <w:rFonts w:ascii="Arial" w:cs="Arial" w:eastAsia="Arial" w:hAnsi="Arial"/>
                <w:i w:val="1"/>
                <w:iCs w:val="1"/>
                <w:color w:val="ff0000"/>
                <w:sz w:val="20"/>
                <w:szCs w:val="20"/>
              </w:rPr>
              <w:t xml:space="preserve">pendiente</w:t>
            </w:r>
          </w:p>
        </w:tc>
      </w:tr>
      <w:tr>
        <w:tc>
          <w:tcPr>
            <w:tcW w:w="1915" w:type="dxa"/>
          </w:tcPr>
          <w:p>
            <w:pPr>
              <w:spacing w:after="0" w:before="0" w:line="240" w:lineRule="auto"/>
            </w:pPr>
            <w:r>
              <w:rPr>
                <w:rFonts w:ascii="Arial" w:cs="Arial" w:eastAsia="Arial" w:hAnsi="Arial"/>
                <w:color w:val="002060"/>
                <w:sz w:val="20"/>
                <w:szCs w:val="20"/>
              </w:rPr>
              <w:t xml:space="preserve">Solicitudes de ayuda con el brazalete</w:t>
            </w:r>
          </w:p>
        </w:tc>
        <w:tc>
          <w:tcPr>
            <w:tcW w:w="900" w:type="dxa"/>
          </w:tcPr>
          <w:p>
            <w:pPr>
              <w:spacing w:after="0" w:before="0" w:line="240" w:lineRule="auto"/>
            </w:pPr>
            <w:r>
              <w:rPr>
                <w:rFonts w:ascii="Arial" w:cs="Arial" w:eastAsia="Arial" w:hAnsi="Arial"/>
                <w:color w:val="002060"/>
                <w:sz w:val="20"/>
                <w:szCs w:val="20"/>
              </w:rPr>
              <w:t xml:space="preserve">por cruce</w:t>
            </w:r>
          </w:p>
        </w:tc>
        <w:tc>
          <w:tcPr>
            <w:tcW w:w="1250" w:type="dxa"/>
          </w:tcPr>
          <w:p>
            <w:pPr>
              <w:spacing w:after="0" w:before="0" w:line="240" w:lineRule="auto"/>
            </w:pPr>
            <w:r>
              <w:rPr>
                <w:rFonts w:ascii="Arial" w:cs="Arial" w:eastAsia="Arial" w:hAnsi="Arial"/>
                <w:i w:val="1"/>
                <w:iCs w:val="1"/>
                <w:color w:val="ff0000"/>
                <w:sz w:val="20"/>
                <w:szCs w:val="20"/>
              </w:rPr>
              <w:t xml:space="preserve">pendiente</w:t>
            </w:r>
          </w:p>
        </w:tc>
      </w:tr>
      <w:tr>
        <w:tc>
          <w:tcPr>
            <w:tcW w:w="1915" w:type="dxa"/>
          </w:tcPr>
          <w:p>
            <w:pPr>
              <w:spacing w:after="0" w:before="0" w:line="240" w:lineRule="auto"/>
            </w:pPr>
            <w:r>
              <w:rPr>
                <w:rFonts w:ascii="Arial" w:cs="Arial" w:eastAsia="Arial" w:hAnsi="Arial"/>
                <w:color w:val="002060"/>
                <w:sz w:val="20"/>
                <w:szCs w:val="20"/>
              </w:rPr>
              <w:t xml:space="preserve">Cruces iniciados con el cruce permitido</w:t>
            </w:r>
          </w:p>
        </w:tc>
        <w:tc>
          <w:tcPr>
            <w:tcW w:w="900" w:type="dxa"/>
          </w:tcPr>
          <w:p>
            <w:pPr>
              <w:spacing w:after="0" w:before="0" w:line="240" w:lineRule="auto"/>
            </w:pPr>
            <w:r>
              <w:rPr>
                <w:rFonts w:ascii="Arial" w:cs="Arial" w:eastAsia="Arial" w:hAnsi="Arial"/>
                <w:color w:val="002060"/>
                <w:sz w:val="20"/>
                <w:szCs w:val="20"/>
              </w:rPr>
              <w:t xml:space="preserve">%</w:t>
            </w:r>
          </w:p>
        </w:tc>
        <w:tc>
          <w:tcPr>
            <w:tcW w:w="1250" w:type="dxa"/>
          </w:tcPr>
          <w:p>
            <w:pPr>
              <w:spacing w:after="0" w:before="0" w:line="240" w:lineRule="auto"/>
            </w:pPr>
            <w:r>
              <w:rPr>
                <w:rFonts w:ascii="Arial" w:cs="Arial" w:eastAsia="Arial" w:hAnsi="Arial"/>
                <w:i w:val="1"/>
                <w:iCs w:val="1"/>
                <w:color w:val="ff0000"/>
                <w:sz w:val="20"/>
                <w:szCs w:val="20"/>
              </w:rPr>
              <w:t xml:space="preserve">pendiente</w:t>
            </w:r>
          </w:p>
        </w:tc>
      </w:tr>
      <w:tr>
        <w:tc>
          <w:tcPr>
            <w:tcW w:w="1915" w:type="dxa"/>
          </w:tcPr>
          <w:p>
            <w:pPr>
              <w:spacing w:after="0" w:before="0" w:line="240" w:lineRule="auto"/>
            </w:pPr>
            <w:r>
              <w:rPr>
                <w:rFonts w:ascii="Arial" w:cs="Arial" w:eastAsia="Arial" w:hAnsi="Arial"/>
                <w:color w:val="002060"/>
                <w:sz w:val="20"/>
                <w:szCs w:val="20"/>
              </w:rPr>
              <w:t xml:space="preserve">Patrones identificados por el participante</w:t>
            </w:r>
          </w:p>
        </w:tc>
        <w:tc>
          <w:tcPr>
            <w:tcW w:w="900" w:type="dxa"/>
          </w:tcPr>
          <w:p>
            <w:pPr>
              <w:spacing w:after="0" w:before="0" w:line="240" w:lineRule="auto"/>
            </w:pPr>
            <w:r>
              <w:rPr>
                <w:rFonts w:ascii="Arial" w:cs="Arial" w:eastAsia="Arial" w:hAnsi="Arial"/>
                <w:color w:val="002060"/>
                <w:sz w:val="20"/>
                <w:szCs w:val="20"/>
              </w:rPr>
              <w:t xml:space="preserve">%</w:t>
            </w:r>
          </w:p>
        </w:tc>
        <w:tc>
          <w:tcPr>
            <w:tcW w:w="1250" w:type="dxa"/>
          </w:tcPr>
          <w:p>
            <w:pPr>
              <w:spacing w:after="0" w:before="0" w:line="240" w:lineRule="auto"/>
            </w:pPr>
            <w:r>
              <w:rPr>
                <w:rFonts w:ascii="Arial" w:cs="Arial" w:eastAsia="Arial" w:hAnsi="Arial"/>
                <w:i w:val="1"/>
                <w:iCs w:val="1"/>
                <w:color w:val="ff0000"/>
                <w:sz w:val="20"/>
                <w:szCs w:val="20"/>
              </w:rPr>
              <w:t xml:space="preserve">pendiente</w:t>
            </w:r>
          </w:p>
        </w:tc>
      </w:tr>
      <w:tr>
        <w:tc>
          <w:tcPr>
            <w:tcW w:w="1915" w:type="dxa"/>
          </w:tcPr>
          <w:p>
            <w:pPr>
              <w:spacing w:after="0" w:before="0" w:line="240" w:lineRule="auto"/>
            </w:pPr>
            <w:r>
              <w:rPr>
                <w:rFonts w:ascii="Arial" w:cs="Arial" w:eastAsia="Arial" w:hAnsi="Arial"/>
                <w:color w:val="002060"/>
                <w:sz w:val="20"/>
                <w:szCs w:val="20"/>
              </w:rPr>
              <w:t xml:space="preserve">Tiempo de decisión</w:t>
            </w:r>
          </w:p>
        </w:tc>
        <w:tc>
          <w:tcPr>
            <w:tcW w:w="900" w:type="dxa"/>
          </w:tcPr>
          <w:p>
            <w:pPr>
              <w:spacing w:after="0" w:before="0" w:line="240" w:lineRule="auto"/>
            </w:pPr>
            <w:r>
              <w:rPr>
                <w:rFonts w:ascii="Arial" w:cs="Arial" w:eastAsia="Arial" w:hAnsi="Arial"/>
                <w:color w:val="002060"/>
                <w:sz w:val="20"/>
                <w:szCs w:val="20"/>
              </w:rPr>
              <w:t xml:space="preserve">s</w:t>
            </w:r>
          </w:p>
        </w:tc>
        <w:tc>
          <w:tcPr>
            <w:tcW w:w="1250" w:type="dxa"/>
          </w:tcPr>
          <w:p>
            <w:pPr>
              <w:spacing w:after="0" w:before="0" w:line="240" w:lineRule="auto"/>
            </w:pPr>
            <w:r>
              <w:rPr>
                <w:rFonts w:ascii="Arial" w:cs="Arial" w:eastAsia="Arial" w:hAnsi="Arial"/>
                <w:i w:val="1"/>
                <w:iCs w:val="1"/>
                <w:color w:val="ff0000"/>
                <w:sz w:val="20"/>
                <w:szCs w:val="20"/>
              </w:rPr>
              <w:t xml:space="preserve">pendiente</w:t>
            </w:r>
          </w:p>
        </w:tc>
      </w:tr>
    </w:tbl>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5. ANÁLISIS Y DISCUSIONES</w:t>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La hipótesis se evaluará comparando el número de solicitudes de ayuda con y sin el brazalete en la fase 5.</w:t>
      </w:r>
    </w:p>
    <w:p>
      <w:pPr>
        <w:spacing w:after="0" w:before="0" w:line="360" w:lineRule="auto"/>
        <w:jc w:val="both"/>
        <w:rPr>
          <w:rFonts w:ascii="Arial" w:cs="Arial" w:eastAsia="Arial" w:hAnsi="Arial"/>
          <w:sz w:val="24"/>
          <w:szCs w:val="24"/>
        </w:rPr>
      </w:pPr>
      <w:r>
        <w:rPr>
          <w:rFonts w:ascii="Arial" w:cs="Arial" w:eastAsia="Arial" w:hAnsi="Arial"/>
          <w:i w:val="1"/>
          <w:iCs w:val="1"/>
          <w:color w:val="ff0000"/>
          <w:sz w:val="24"/>
          <w:szCs w:val="24"/>
        </w:rPr>
        <w:t xml:space="preserve">[PENDIENTE: analizar los resultados de la Tabla 1.]</w:t>
      </w:r>
    </w:p>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5.1 Trabajo a futuro</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Resolver el caso en que el brazalete recibe la señal de más de un semáforo, como ocurre en las intersecciones, para que identifique cuál corresponde al cruce que la persona tiene al frente.</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Instalar el nodo en semáforos reales, en lugar del prototipo que simula el ciclo de luces.</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Medir el nivel de batería desde el brazalete, dato que la versión actual aún no reporta.</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Mejorar la ergonomía y la resistencia al agua de la carcasa, y probar el sistema en entornos reales con usuarios finales.</w:t>
      </w:r>
    </w:p>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6. CONCLUSIÓN</w:t>
      </w:r>
    </w:p>
    <w:p>
      <w:pPr>
        <w:spacing w:after="0" w:before="0" w:line="360" w:lineRule="auto"/>
        <w:jc w:val="both"/>
        <w:rPr>
          <w:rFonts w:ascii="Arial" w:cs="Arial" w:eastAsia="Arial" w:hAnsi="Arial"/>
          <w:sz w:val="24"/>
          <w:szCs w:val="24"/>
        </w:rPr>
      </w:pPr>
      <w:r>
        <w:rPr>
          <w:rFonts w:ascii="Arial" w:cs="Arial" w:eastAsia="Arial" w:hAnsi="Arial"/>
          <w:color w:val="002060"/>
          <w:sz w:val="24"/>
          <w:szCs w:val="24"/>
        </w:rPr>
        <w:t xml:space="preserve">ACPI muestra que componentes comerciales de bajo consumo pueden convertir una señal pensada solo para la vista en información táctil. Su evolución, de una carcasa rígida con micro:bit a un brazalete con placa propia y sensores de orientación, le permitió indicar no solo cuándo cruzar, sino también hacia dónde dirigirse.</w:t>
      </w:r>
    </w:p>
    <w:p>
      <w:pPr>
        <w:spacing w:after="0" w:before="0" w:line="360" w:lineRule="auto"/>
        <w:jc w:val="both"/>
        <w:rPr>
          <w:rFonts w:ascii="Arial" w:cs="Arial" w:eastAsia="Arial" w:hAnsi="Arial"/>
          <w:sz w:val="24"/>
          <w:szCs w:val="24"/>
        </w:rPr>
      </w:pPr>
      <w:r>
        <w:rPr>
          <w:rFonts w:ascii="Arial" w:cs="Arial" w:eastAsia="Arial" w:hAnsi="Arial"/>
          <w:i w:val="1"/>
          <w:iCs w:val="1"/>
          <w:color w:val="ff0000"/>
          <w:sz w:val="24"/>
          <w:szCs w:val="24"/>
        </w:rPr>
        <w:t xml:space="preserve">[PENDIENTE: evaluar la hipótesis con los resultados de la fase 5 y mencionar las limitaciones encontradas.]</w:t>
      </w:r>
    </w:p>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7. BIBLIOGRAFÍA</w:t>
      </w:r>
    </w:p>
    <w:p>
      <w:pPr>
        <w:spacing w:after="0" w:before="0" w:line="360" w:lineRule="auto"/>
        <w:jc w:val="both"/>
        <w:rPr>
          <w:rFonts w:ascii="Arial" w:cs="Arial" w:eastAsia="Arial" w:hAnsi="Arial"/>
          <w:sz w:val="24"/>
          <w:szCs w:val="24"/>
        </w:rPr>
      </w:pPr>
      <w:r>
        <w:rPr>
          <w:rFonts w:ascii="Arial" w:cs="Arial" w:eastAsia="Arial" w:hAnsi="Arial"/>
          <w:i w:val="1"/>
          <w:iCs w:val="1"/>
          <w:color w:val="ff0000"/>
          <w:sz w:val="24"/>
          <w:szCs w:val="24"/>
        </w:rPr>
        <w:t xml:space="preserve">[PENDIENTE: revisar y completar. Se requieren al menos 5 referencias arbitradas, en orden alfabético y en formato APA 7.]</w:t>
      </w:r>
    </w:p>
    <w:p>
      <w:pPr>
        <w:spacing w:after="12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CityTV. (2024, 14 de marzo). Bogotá tendría un déficit de semáforos sonoros para personas ciegas. El Tiempo. https://citytv.eltiempo.com/programas/citynoticias-del-mediodia/bogota-tendria-un-deficit-de-semaforos-sonoros-para-personas-ciegas_63112</w:t>
      </w:r>
    </w:p>
    <w:p>
      <w:pPr>
        <w:spacing w:after="12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Congreso de Colombia. (2013). Ley Estatutaria 1618 de 2013: Por medio de la cual se establecen las disposiciones para garantizar el pleno ejercicio de los derechos de las personas con discapacidad. Diario Oficial No. 48.717. https://www.funcionpublica.gov.co/eva/gestornormativo/norma.php?i=52081</w:t>
      </w:r>
    </w:p>
    <w:p>
      <w:pPr>
        <w:spacing w:after="12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Espressif Systems. (2020). </w:t>
      </w:r>
      <w:r>
        <w:rPr>
          <w:rFonts w:ascii="Arial" w:cs="Arial" w:eastAsia="Arial" w:hAnsi="Arial"/>
          <w:i w:val="1"/>
          <w:iCs w:val="1"/>
          <w:color w:val="ff0000"/>
          <w:sz w:val="24"/>
          <w:szCs w:val="24"/>
        </w:rPr>
        <w:t xml:space="preserve">[PENDIENTE: completar la referencia.]</w:t>
      </w:r>
    </w:p>
    <w:p>
      <w:pPr>
        <w:spacing w:after="12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Fundación Montemadrid. (2015). </w:t>
      </w:r>
      <w:r>
        <w:rPr>
          <w:rFonts w:ascii="Arial" w:cs="Arial" w:eastAsia="Arial" w:hAnsi="Arial"/>
          <w:i w:val="1"/>
          <w:iCs w:val="1"/>
          <w:color w:val="ff0000"/>
          <w:sz w:val="24"/>
          <w:szCs w:val="24"/>
        </w:rPr>
        <w:t xml:space="preserve">[PENDIENTE: completar la referencia.]</w:t>
      </w:r>
    </w:p>
    <w:p>
      <w:pPr>
        <w:spacing w:after="12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LaBiN Granada. (s.f.). Semáforos para invidentes. Laboratorio de Innovación Pública de Granada. https://labingranada.org/idea/semaforos-para-invidentes/</w:t>
      </w:r>
    </w:p>
    <w:p>
      <w:pPr>
        <w:spacing w:after="12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Organización Mundial de la Salud [OMS]. (2004). </w:t>
      </w:r>
      <w:r>
        <w:rPr>
          <w:rFonts w:ascii="Arial" w:cs="Arial" w:eastAsia="Arial" w:hAnsi="Arial"/>
          <w:i w:val="1"/>
          <w:iCs w:val="1"/>
          <w:color w:val="ff0000"/>
          <w:sz w:val="24"/>
          <w:szCs w:val="24"/>
        </w:rPr>
        <w:t xml:space="preserve">[PENDIENTE: completar la referencia.]</w:t>
      </w:r>
    </w:p>
    <w:p w:rsidR="00000000" w:rsidDel="00000000" w:rsidP="00000000" w:rsidRDefault="00000000" w:rsidRPr="00000000" w14:paraId="0000005B">
      <w:pPr>
        <w:spacing w:after="0" w:line="240" w:lineRule="auto"/>
        <w:jc w:val="both"/>
        <w:rPr>
          <w:rFonts w:ascii="Arial" w:cs="Arial" w:eastAsia="Arial" w:hAnsi="Arial"/>
          <w:color w:val="002060"/>
          <w:sz w:val="24"/>
          <w:szCs w:val="24"/>
        </w:rPr>
        <w:sectPr>
          <w:type w:val="continuous"/>
          <w:pgSz w:h="15840" w:w="12240" w:orient="portrait"/>
          <w:pgMar w:bottom="1417" w:top="1620" w:left="1701" w:right="1701" w:header="284" w:footer="980"/>
          <w:cols w:equalWidth="0" w:num="2">
            <w:col w:space="708" w:w="4065.0000000000005"/>
            <w:col w:space="0" w:w="4065.0000000000005"/>
          </w:cols>
        </w:sect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pageBreakBefore/>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ANEXOS</w:t>
      </w: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Evolución del prototipo</w:t>
      </w:r>
    </w:p>
    <w:p>
      <w:pPr>
        <w:spacing w:after="0" w:before="0" w:line="360" w:lineRule="auto"/>
        <w:jc w:val="both"/>
        <w:rPr>
          <w:rFonts w:ascii="Arial" w:cs="Arial" w:eastAsia="Arial" w:hAnsi="Arial"/>
          <w:sz w:val="24"/>
          <w:szCs w:val="24"/>
        </w:rPr>
      </w:pPr>
      <w:r>
        <w:rPr>
          <w:rFonts w:ascii="Arial" w:cs="Arial" w:eastAsia="Arial" w:hAnsi="Arial"/>
          <w:b w:val="1"/>
          <w:bCs w:val="1"/>
          <w:color w:val="002060"/>
          <w:sz w:val="24"/>
          <w:szCs w:val="24"/>
        </w:rPr>
        <w:t xml:space="preserve">Prototipo 1 (micro:bit): </w:t>
      </w:r>
      <w:r>
        <w:rPr>
          <w:rFonts w:ascii="Arial" w:cs="Arial" w:eastAsia="Arial" w:hAnsi="Arial"/>
          <w:color w:val="002060"/>
          <w:sz w:val="24"/>
          <w:szCs w:val="24"/>
        </w:rPr>
        <w:t xml:space="preserve">una tarjeta micro:bit y un motor vibrador en una carcasa de PLA rígido impresa en 3D en dos piezas. Funcionó al recibir la señal, pero la rigidez del PLA la hacía incómoda en la muñeca, los cables quedaban expuestos y voluminosos, y el diseño no era práctico para el uso diario.</w:t>
      </w:r>
    </w:p>
    <w:p>
      <w:pPr>
        <w:spacing w:after="0" w:before="0" w:line="360" w:lineRule="auto"/>
        <w:jc w:val="center"/>
        <w:rPr>
          <w:rFonts w:ascii="Arial" w:cs="Arial" w:eastAsia="Arial" w:hAnsi="Arial"/>
          <w:sz w:val="24"/>
          <w:szCs w:val="24"/>
        </w:rPr>
      </w:pPr>
      <w:r>
        <w:rPr>
          <w:rFonts w:ascii="Arial" w:cs="Arial" w:eastAsia="Arial" w:hAnsi="Arial"/>
          <w:i w:val="1"/>
          <w:iCs w:val="1"/>
          <w:color w:val="ff0000"/>
          <w:sz w:val="24"/>
          <w:szCs w:val="24"/>
        </w:rPr>
        <w:t xml:space="preserve">[Figura 3. Prototipo 1 (micro:bit). Insertar imagen]</w:t>
      </w:r>
    </w:p>
    <w:p>
      <w:pPr>
        <w:spacing w:after="0" w:before="0" w:line="360" w:lineRule="auto"/>
        <w:jc w:val="both"/>
        <w:rPr>
          <w:rFonts w:ascii="Arial" w:cs="Arial" w:eastAsia="Arial" w:hAnsi="Arial"/>
          <w:sz w:val="24"/>
          <w:szCs w:val="24"/>
        </w:rPr>
      </w:pPr>
      <w:r>
        <w:rPr>
          <w:rFonts w:ascii="Arial" w:cs="Arial" w:eastAsia="Arial" w:hAnsi="Arial"/>
          <w:b w:val="1"/>
          <w:bCs w:val="1"/>
          <w:color w:val="002060"/>
          <w:sz w:val="24"/>
          <w:szCs w:val="24"/>
        </w:rPr>
        <w:t xml:space="preserve">Prototipo 2 (ESP32): </w:t>
      </w:r>
      <w:r>
        <w:rPr>
          <w:rFonts w:ascii="Arial" w:cs="Arial" w:eastAsia="Arial" w:hAnsi="Arial"/>
          <w:color w:val="002060"/>
          <w:sz w:val="24"/>
          <w:szCs w:val="24"/>
        </w:rPr>
        <w:t xml:space="preserve">se migró a un ESP32 y se diseñó una carcasa en plástico flexible, más cómoda al contacto con la piel, con un módulo para la electrónica, otro para el cableado y una correa de silicona ajustable. El estado del semáforo se detectaba con un sensor de luz (LDR), que resultó sensible a los cambios de luz ambiente.</w:t>
      </w:r>
    </w:p>
    <w:p>
      <w:pPr>
        <w:spacing w:after="0" w:before="0" w:line="360" w:lineRule="auto"/>
        <w:jc w:val="center"/>
        <w:rPr>
          <w:rFonts w:ascii="Arial" w:cs="Arial" w:eastAsia="Arial" w:hAnsi="Arial"/>
          <w:sz w:val="24"/>
          <w:szCs w:val="24"/>
        </w:rPr>
      </w:pPr>
      <w:r>
        <w:rPr>
          <w:rFonts w:ascii="Arial" w:cs="Arial" w:eastAsia="Arial" w:hAnsi="Arial"/>
          <w:i w:val="1"/>
          <w:iCs w:val="1"/>
          <w:color w:val="ff0000"/>
          <w:sz w:val="24"/>
          <w:szCs w:val="24"/>
        </w:rPr>
        <w:t xml:space="preserve">[Figura 4. Prototipo 2 sin carcasa. Insertar imagen]</w:t>
      </w:r>
    </w:p>
    <w:p>
      <w:pPr>
        <w:spacing w:after="0" w:before="0" w:line="360" w:lineRule="auto"/>
        <w:jc w:val="both"/>
        <w:rPr>
          <w:rFonts w:ascii="Arial" w:cs="Arial" w:eastAsia="Arial" w:hAnsi="Arial"/>
          <w:sz w:val="24"/>
          <w:szCs w:val="24"/>
        </w:rPr>
      </w:pPr>
      <w:r>
        <w:rPr>
          <w:rFonts w:ascii="Arial" w:cs="Arial" w:eastAsia="Arial" w:hAnsi="Arial"/>
          <w:b w:val="1"/>
          <w:bCs w:val="1"/>
          <w:color w:val="002060"/>
          <w:sz w:val="24"/>
          <w:szCs w:val="24"/>
        </w:rPr>
        <w:t xml:space="preserve">Prototipo 3 (actual): </w:t>
      </w:r>
      <w:r>
        <w:rPr>
          <w:rFonts w:ascii="Arial" w:cs="Arial" w:eastAsia="Arial" w:hAnsi="Arial"/>
          <w:color w:val="002060"/>
          <w:sz w:val="24"/>
          <w:szCs w:val="24"/>
        </w:rPr>
        <w:t xml:space="preserve">el semáforo ya no se detecta por la luz: un nodo junto al semáforo transmite directamente su estado y su orientación. El brazalete suma sensores de orientación y un segundo motor para indicar hacia qué lado girar, y toda la electrónica se integra en una placa de circuito impreso propia.</w:t>
      </w:r>
    </w:p>
    <w:p>
      <w:pPr>
        <w:spacing w:after="0" w:before="0" w:line="360" w:lineRule="auto"/>
        <w:jc w:val="center"/>
        <w:rPr>
          <w:rFonts w:ascii="Arial" w:cs="Arial" w:eastAsia="Arial" w:hAnsi="Arial"/>
          <w:sz w:val="24"/>
          <w:szCs w:val="24"/>
        </w:rPr>
      </w:pPr>
      <w:r>
        <w:rPr>
          <w:rFonts w:ascii="Arial" w:cs="Arial" w:eastAsia="Arial" w:hAnsi="Arial"/>
          <w:i w:val="1"/>
          <w:iCs w:val="1"/>
          <w:color w:val="ff0000"/>
          <w:sz w:val="24"/>
          <w:szCs w:val="24"/>
        </w:rPr>
        <w:t xml:space="preserve">[Figura 5. Prototipo 3: brazalete con placa de circuito impreso propia. Insertar imagen]</w:t>
      </w:r>
    </w:p>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Especificaciones del brazalete</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Microcontrolador: ESP32-C3 Super Mini.</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Sensores: módulo MPU9250 (acelerómetro, giroscopio y magnetómetro) y módulo GY-271 (magnetómetro), conectados por I2C.</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Actuadores: dos motores vibradores, cada uno controlado por un transistor 2N2222, con diodos 1N5819 de protección.</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Alimentación: batería de litio de una celda, módulo de carga TP4056 con conector USB tipo C e interruptor de encendido.</w:t>
      </w:r>
    </w:p>
    <w:p>
      <w:pPr>
        <w:numPr>
          <w:ilvl w:val="0"/>
          <w:numId w:val="1"/>
        </w:numPr>
        <w:spacing w:after="0" w:before="0" w:line="360" w:lineRule="auto"/>
        <w:ind w:left="357" w:hanging="357"/>
        <w:jc w:val="left"/>
        <w:rPr>
          <w:rFonts w:ascii="Arial" w:cs="Arial" w:eastAsia="Arial" w:hAnsi="Arial"/>
          <w:sz w:val="24"/>
          <w:szCs w:val="24"/>
        </w:rPr>
      </w:pPr>
      <w:r>
        <w:rPr>
          <w:rFonts w:ascii="Arial" w:cs="Arial" w:eastAsia="Arial" w:hAnsi="Arial"/>
          <w:color w:val="002060"/>
          <w:sz w:val="24"/>
          <w:szCs w:val="24"/>
        </w:rPr>
        <w:t xml:space="preserve">Placa de circuito impreso diseñada en EasyEDA.</w:t>
      </w:r>
    </w:p>
    <w:p>
      <w:pPr>
        <w:spacing w:after="0" w:before="0" w:line="360" w:lineRule="auto"/>
        <w:jc w:val="both"/>
        <w:rPr>
          <w:rFonts w:ascii="Arial" w:cs="Arial" w:eastAsia="Arial" w:hAnsi="Arial"/>
          <w:sz w:val="24"/>
          <w:szCs w:val="24"/>
        </w:rPr>
      </w:pPr>
    </w:p>
    <w:p>
      <w:pPr>
        <w:keepNext/>
        <w:spacing w:after="0" w:before="0" w:line="360" w:lineRule="auto"/>
        <w:jc w:val="both"/>
        <w:rPr>
          <w:rFonts w:ascii="Arial" w:cs="Arial" w:eastAsia="Arial" w:hAnsi="Arial"/>
          <w:sz w:val="24"/>
          <w:szCs w:val="24"/>
        </w:rPr>
      </w:pPr>
      <w:r>
        <w:rPr>
          <w:rFonts w:ascii="Arial" w:cs="Arial" w:eastAsia="Arial" w:hAnsi="Arial"/>
          <w:b w:val="1"/>
          <w:bCs w:val="1"/>
          <w:sz w:val="24"/>
          <w:szCs w:val="24"/>
        </w:rPr>
        <w:t xml:space="preserve">Pruebas con participantes</w:t>
      </w:r>
    </w:p>
    <w:p>
      <w:pPr>
        <w:spacing w:after="0" w:before="0" w:line="360" w:lineRule="auto"/>
        <w:jc w:val="both"/>
        <w:rPr>
          <w:rFonts w:ascii="Arial" w:cs="Arial" w:eastAsia="Arial" w:hAnsi="Arial"/>
          <w:sz w:val="24"/>
          <w:szCs w:val="24"/>
        </w:rPr>
      </w:pPr>
      <w:r>
        <w:rPr>
          <w:rFonts w:ascii="Arial" w:cs="Arial" w:eastAsia="Arial" w:hAnsi="Arial"/>
          <w:i w:val="1"/>
          <w:iCs w:val="1"/>
          <w:color w:val="ff0000"/>
          <w:sz w:val="24"/>
          <w:szCs w:val="24"/>
        </w:rPr>
        <w:t xml:space="preserve">[PENDIENTE: después de la fase 5, describir el número y los datos generales de los participantes, cómo se reclutaron, cómo se obtuvo su consentimiento y se les informó que podían retirarse en cualquier momento, cómo se protegieron sus datos, la encuesta aplicada y los riesgos del cruce simulado y cómo se minimizaron.]</w:t>
      </w:r>
    </w:p>
    <w:p>
      <w:pPr>
        <w:spacing w:after="0" w:before="0" w:line="360" w:lineRule="auto"/>
        <w:jc w:val="both"/>
        <w:rPr>
          <w:rFonts w:ascii="Arial" w:cs="Arial" w:eastAsia="Arial" w:hAnsi="Arial"/>
          <w:sz w:val="24"/>
          <w:szCs w:val="24"/>
        </w:rPr>
      </w:pPr>
    </w:p>
    <w:p w:rsidR="00000000" w:rsidDel="00000000" w:rsidP="00000000" w:rsidRDefault="00000000" w:rsidRPr="00000000" w14:paraId="00000086">
      <w:pPr>
        <w:spacing w:after="0" w:line="240" w:lineRule="auto"/>
        <w:jc w:val="both"/>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Foto del Equipo</w:t>
      </w:r>
    </w:p>
    <w:p w:rsidR="00000000" w:rsidDel="00000000" w:rsidP="00000000" w:rsidRDefault="00000000" w:rsidRPr="00000000" w14:paraId="00000087">
      <w:pPr>
        <w:spacing w:after="0" w:line="240" w:lineRule="auto"/>
        <w:jc w:val="both"/>
        <w:rPr>
          <w:rFonts w:ascii="Arial" w:cs="Arial" w:eastAsia="Arial" w:hAnsi="Arial"/>
          <w:color w:val="002060"/>
          <w:sz w:val="24"/>
          <w:szCs w:val="24"/>
        </w:rPr>
      </w:pPr>
      <w:r w:rsidDel="00000000" w:rsidR="00000000" w:rsidRPr="00000000">
        <w:rPr>
          <w:rtl w:val="0"/>
        </w:rPr>
      </w:r>
    </w:p>
    <w:sdt>
      <w:sdtPr>
        <w:lock w:val="contentLocked"/>
        <w:id w:val="-828475554"/>
        <w:tag w:val="goog_rdk_0"/>
      </w:sdtPr>
      <w:sdtContent>
        <w:tbl>
          <w:tblPr>
            <w:tblStyle w:val="Table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tc>
          </w:tr>
        </w:tbl>
      </w:sdtContent>
    </w:sdt>
    <w:p w:rsidR="00000000" w:rsidDel="00000000" w:rsidP="00000000" w:rsidRDefault="00000000" w:rsidRPr="00000000" w14:paraId="0000009A">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D">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F">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0">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2">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7">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8">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A">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B">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C">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D">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ANEXO A (obligatorio)</w:t>
      </w:r>
    </w:p>
    <w:p w:rsidR="00000000" w:rsidDel="00000000" w:rsidP="00000000" w:rsidRDefault="00000000" w:rsidRPr="00000000" w14:paraId="000000A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Identificación de Expositor(es) y Asesor</w:t>
      </w:r>
    </w:p>
    <w:p w:rsidR="00000000" w:rsidDel="00000000" w:rsidP="00000000" w:rsidRDefault="00000000" w:rsidRPr="00000000" w14:paraId="000000B0">
      <w:pPr>
        <w:spacing w:after="4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B1">
      <w:pPr>
        <w:spacing w:after="4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B2">
      <w:pPr>
        <w:spacing w:after="40" w:line="240" w:lineRule="auto"/>
        <w:jc w:val="center"/>
        <w:rPr>
          <w:rFonts w:ascii="Arial" w:cs="Arial" w:eastAsia="Arial" w:hAnsi="Arial"/>
          <w:b w:val="1"/>
          <w:bCs w:val="1"/>
          <w:sz w:val="24"/>
          <w:szCs w:val="24"/>
        </w:rPr>
      </w:pPr>
      <w:r w:rsidDel="00000000" w:rsidR="00000000" w:rsidRPr="00000000">
        <w:rPr>
          <w:b w:val="1"/>
          <w:bCs w:val="1"/>
          <w:sz w:val="24"/>
          <w:szCs w:val="24"/>
          <w:rtl w:val="0"/>
        </w:rPr>
        <w:t xml:space="preserve">Insertar credenciales escolares de los expositores y la identificación del asesor </w:t>
      </w:r>
      <w:r w:rsidDel="00000000" w:rsidR="00000000" w:rsidRPr="00000000">
        <w:rPr>
          <w:rtl w:val="0"/>
        </w:rPr>
      </w:r>
    </w:p>
    <w:tbl>
      <w:tblPr>
        <w:tblStyle w:val="Table2"/>
        <w:tblpPr w:leftFromText="180" w:rightFromText="180" w:topFromText="0" w:bottomFromText="0" w:vertAnchor="text" w:horzAnchor="text" w:tblpX="48.000000000000114" w:tblpY="202"/>
        <w:tblW w:w="8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85"/>
        <w:tblGridChange w:id="0">
          <w:tblGrid>
            <w:gridCol w:w="8685"/>
          </w:tblGrid>
        </w:tblGridChange>
      </w:tblGrid>
      <w:tr>
        <w:trPr>
          <w:cantSplit w:val="0"/>
          <w:tblHeader w:val="0"/>
        </w:trPr>
        <w:tc>
          <w:tcPr/>
          <w:p w:rsidR="00000000" w:rsidDel="00000000" w:rsidP="00000000" w:rsidRDefault="00000000" w:rsidRPr="00000000" w14:paraId="000000B3">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4">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5">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6">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7">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8">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9">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A">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B">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C">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D">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E">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F">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0">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1">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2">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3">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4">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5">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6">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7">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8">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9">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A">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B">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C">
            <w:pPr>
              <w:spacing w:after="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D">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E">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F">
            <w:pPr>
              <w:spacing w:after="0" w:lineRule="auto"/>
              <w:jc w:val="center"/>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0D8">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9">
      <w:pPr>
        <w:spacing w:after="0" w:line="240" w:lineRule="auto"/>
        <w:jc w:val="center"/>
        <w:rPr>
          <w:rFonts w:ascii="Arial" w:cs="Arial" w:eastAsia="Arial" w:hAnsi="Arial"/>
          <w:b w:val="1"/>
          <w:bCs w:val="1"/>
          <w:color w:val="002060"/>
          <w:sz w:val="24"/>
          <w:szCs w:val="24"/>
        </w:rPr>
      </w:pPr>
      <w:r w:rsidDel="00000000" w:rsidR="00000000" w:rsidRPr="00000000">
        <w:rPr>
          <w:rtl w:val="0"/>
        </w:rPr>
      </w:r>
    </w:p>
    <w:p w:rsidR="00000000" w:rsidDel="00000000" w:rsidP="00000000" w:rsidRDefault="00000000" w:rsidRPr="00000000" w14:paraId="000000DA">
      <w:pPr>
        <w:spacing w:after="0" w:line="240" w:lineRule="auto"/>
        <w:jc w:val="center"/>
        <w:rPr>
          <w:rFonts w:ascii="Arial" w:cs="Arial" w:eastAsia="Arial" w:hAnsi="Arial"/>
          <w:b w:val="1"/>
          <w:bCs w:val="1"/>
          <w:color w:val="002060"/>
          <w:sz w:val="24"/>
          <w:szCs w:val="24"/>
        </w:rPr>
      </w:pPr>
      <w:r w:rsidDel="00000000" w:rsidR="00000000" w:rsidRPr="00000000">
        <w:rPr>
          <w:rtl w:val="0"/>
        </w:rPr>
      </w:r>
    </w:p>
    <w:p w:rsidR="00000000" w:rsidDel="00000000" w:rsidP="00000000" w:rsidRDefault="00000000" w:rsidRPr="00000000" w14:paraId="000000DB">
      <w:pPr>
        <w:spacing w:after="0" w:line="240" w:lineRule="auto"/>
        <w:jc w:val="center"/>
        <w:rPr>
          <w:rFonts w:ascii="Arial" w:cs="Arial" w:eastAsia="Arial" w:hAnsi="Arial"/>
          <w:b w:val="1"/>
          <w:bCs w:val="1"/>
          <w:color w:val="002060"/>
          <w:sz w:val="24"/>
          <w:szCs w:val="24"/>
        </w:rPr>
      </w:pPr>
      <w:r w:rsidDel="00000000" w:rsidR="00000000" w:rsidRPr="00000000">
        <w:rPr>
          <w:rtl w:val="0"/>
        </w:rPr>
      </w:r>
    </w:p>
    <w:p w:rsidR="00000000" w:rsidDel="00000000" w:rsidP="00000000" w:rsidRDefault="00000000" w:rsidRPr="00000000" w14:paraId="000000DC">
      <w:pPr>
        <w:spacing w:after="0" w:line="240" w:lineRule="auto"/>
        <w:jc w:val="center"/>
        <w:rPr>
          <w:rFonts w:ascii="Arial" w:cs="Arial" w:eastAsia="Arial" w:hAnsi="Arial"/>
          <w:b w:val="1"/>
          <w:bCs w:val="1"/>
          <w:color w:val="002060"/>
          <w:sz w:val="24"/>
          <w:szCs w:val="24"/>
        </w:rPr>
      </w:pPr>
      <w:r w:rsidDel="00000000" w:rsidR="00000000" w:rsidRPr="00000000">
        <w:rPr>
          <w:rtl w:val="0"/>
        </w:rPr>
      </w:r>
    </w:p>
    <w:sectPr>
      <w:type w:val="continuous"/>
      <w:pgSz w:h="15840" w:w="12240" w:orient="portrait"/>
      <w:pgMar w:bottom="1417" w:top="1620"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1948814</wp:posOffset>
          </wp:positionH>
          <wp:positionV relativeFrom="paragraph">
            <wp:posOffset>-106678</wp:posOffset>
          </wp:positionV>
          <wp:extent cx="1442720" cy="495300"/>
          <wp:effectExtent b="0" l="0" r="0" t="0"/>
          <wp:wrapSquare wrapText="bothSides" distB="0" distT="0" distL="114300" distR="114300"/>
          <wp:docPr descr="solacyt_10cm" id="15" name="image1.jpg"/>
          <a:graphic>
            <a:graphicData uri="http://schemas.openxmlformats.org/drawingml/2006/picture">
              <pic:pic>
                <pic:nvPicPr>
                  <pic:cNvPr descr="solacyt_10cm" id="0" name="image1.jpg"/>
                  <pic:cNvPicPr preferRelativeResize="0"/>
                </pic:nvPicPr>
                <pic:blipFill>
                  <a:blip r:embed="rId1"/>
                  <a:srcRect b="0" l="0" r="0" t="0"/>
                  <a:stretch>
                    <a:fillRect/>
                  </a:stretch>
                </pic:blipFill>
                <pic:spPr>
                  <a:xfrm>
                    <a:off x="0" y="0"/>
                    <a:ext cx="1442720" cy="495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rsid w:val="002276DA"/>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276DA"/>
    <w:rPr>
      <w:rFonts w:ascii="Tahoma" w:cs="Tahoma" w:hAnsi="Tahoma"/>
      <w:sz w:val="16"/>
      <w:szCs w:val="16"/>
    </w:rPr>
  </w:style>
  <w:style w:type="paragraph" w:styleId="Encabezado">
    <w:name w:val="header"/>
    <w:basedOn w:val="Normal"/>
    <w:link w:val="EncabezadoCar"/>
    <w:uiPriority w:val="99"/>
    <w:unhideWhenUsed w:val="1"/>
    <w:rsid w:val="00BF606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F6066"/>
  </w:style>
  <w:style w:type="paragraph" w:styleId="Piedepgina">
    <w:name w:val="footer"/>
    <w:basedOn w:val="Normal"/>
    <w:link w:val="PiedepginaCar"/>
    <w:uiPriority w:val="99"/>
    <w:unhideWhenUsed w:val="1"/>
    <w:rsid w:val="00BF606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F6066"/>
  </w:style>
  <w:style w:type="paragraph" w:styleId="NormalWeb">
    <w:name w:val="Normal (Web)"/>
    <w:basedOn w:val="Normal"/>
    <w:uiPriority w:val="99"/>
    <w:unhideWhenUsed w:val="1"/>
    <w:rsid w:val="00BF6066"/>
    <w:pPr>
      <w:spacing w:after="100" w:afterAutospacing="1" w:before="100" w:beforeAutospacing="1" w:line="240" w:lineRule="auto"/>
    </w:pPr>
    <w:rPr>
      <w:rFonts w:ascii="Times New Roman" w:cs="Times New Roman" w:eastAsia="Times New Roman" w:hAnsi="Times New Roman"/>
      <w:sz w:val="24"/>
      <w:szCs w:val="24"/>
    </w:rPr>
  </w:style>
  <w:style w:type="character" w:styleId="Textoennegrita">
    <w:name w:val="Strong"/>
    <w:basedOn w:val="Fuentedeprrafopredeter"/>
    <w:uiPriority w:val="22"/>
    <w:qFormat w:val="1"/>
    <w:rsid w:val="00BF6066"/>
    <w:rPr>
      <w:b w:val="1"/>
      <w:bCs w:val="1"/>
    </w:rPr>
  </w:style>
  <w:style w:type="paragraph" w:styleId="Prrafodelista">
    <w:name w:val="List Paragraph"/>
    <w:basedOn w:val="Normal"/>
    <w:uiPriority w:val="34"/>
    <w:qFormat w:val="1"/>
    <w:rsid w:val="00F42460"/>
    <w:pPr>
      <w:ind w:left="720"/>
      <w:contextualSpacing w:val="1"/>
    </w:pPr>
  </w:style>
  <w:style w:type="character" w:styleId="Hipervnculo">
    <w:name w:val="Hyperlink"/>
    <w:basedOn w:val="Fuentedeprrafopredeter"/>
    <w:uiPriority w:val="99"/>
    <w:unhideWhenUsed w:val="1"/>
    <w:rsid w:val="00F42460"/>
    <w:rPr>
      <w:color w:val="0000ff" w:themeColor="hyperlink"/>
      <w:u w:val="single"/>
    </w:rPr>
  </w:style>
  <w:style w:type="table" w:styleId="Tablaconcuadrcula">
    <w:name w:val="Table Grid"/>
    <w:basedOn w:val="Tablanormal"/>
    <w:uiPriority w:val="59"/>
    <w:rsid w:val="00E0751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inespaciado">
    <w:name w:val="No Spacing"/>
    <w:uiPriority w:val="1"/>
    <w:qFormat w:val="1"/>
    <w:rsid w:val="005439D3"/>
    <w:pPr>
      <w:spacing w:after="0" w:line="240" w:lineRule="auto"/>
    </w:pPr>
  </w:style>
  <w:style w:type="character" w:styleId="Mencinsinresolver1" w:customStyle="1">
    <w:name w:val="Mención sin resolver1"/>
    <w:basedOn w:val="Fuentedeprrafopredeter"/>
    <w:uiPriority w:val="99"/>
    <w:semiHidden w:val="1"/>
    <w:unhideWhenUsed w:val="1"/>
    <w:rsid w:val="00D474C7"/>
    <w:rPr>
      <w:color w:val="605e5c"/>
      <w:shd w:color="auto" w:fill="e1dfdd" w:val="clear"/>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revista.unam.mx/wp-content/uploads/3_Normas-APA-7-ed-2019-11-6.pdf"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2px3AvDbD6A7Tlj7C+9lbowAYQ==">CgMxLjAaHwoBMBIaChgICVIUChJ0YWJsZS5qZWg0a255ZjFlM244AHIhMXl3YmNrNzc2NmpKOHNVYVRkTFRWMzNYZVlzZW1wcTd5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2022-09-02T16:07:00Z</dcterms:created>
  <dc:creator>Omar;Dora González</dc:creator>
</cp:coreProperties>
</file>