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C163" w14:textId="77777777" w:rsidR="002F7ED7" w:rsidRDefault="002F7ED7">
      <w:pPr>
        <w:spacing w:line="480" w:lineRule="auto"/>
      </w:pPr>
    </w:p>
    <w:p w14:paraId="66B7BFD7" w14:textId="77777777" w:rsidR="002F7ED7" w:rsidRDefault="002F7ED7">
      <w:pPr>
        <w:spacing w:line="480" w:lineRule="auto"/>
      </w:pPr>
    </w:p>
    <w:p w14:paraId="324782E2" w14:textId="77777777" w:rsidR="002F7ED7" w:rsidRDefault="002F7ED7">
      <w:pPr>
        <w:spacing w:line="480" w:lineRule="auto"/>
      </w:pPr>
    </w:p>
    <w:p w14:paraId="7C74E187" w14:textId="77777777" w:rsidR="002F7ED7" w:rsidRDefault="00000000">
      <w:pPr>
        <w:spacing w:line="480" w:lineRule="auto"/>
        <w:jc w:val="center"/>
      </w:pPr>
      <w:r>
        <w:rPr>
          <w:b/>
          <w:bCs/>
        </w:rPr>
        <w:t>Auditoría y rediseño del sitio web ACPI: Asistente de Cruce Peatonal para Invidentes</w:t>
      </w:r>
    </w:p>
    <w:p w14:paraId="2AFCF88C" w14:textId="77777777" w:rsidR="002F7ED7" w:rsidRDefault="002F7ED7">
      <w:pPr>
        <w:spacing w:line="480" w:lineRule="auto"/>
      </w:pPr>
    </w:p>
    <w:p w14:paraId="45D7DA1E" w14:textId="77777777" w:rsidR="002F7ED7" w:rsidRDefault="00000000">
      <w:pPr>
        <w:spacing w:line="480" w:lineRule="auto"/>
        <w:jc w:val="center"/>
      </w:pPr>
      <w:r>
        <w:t>Edy S. Ávila</w:t>
      </w:r>
    </w:p>
    <w:p w14:paraId="04D780C7" w14:textId="77777777" w:rsidR="002F7ED7" w:rsidRDefault="00000000">
      <w:pPr>
        <w:spacing w:line="480" w:lineRule="auto"/>
        <w:jc w:val="center"/>
      </w:pPr>
      <w:r>
        <w:t>Escuela Tecnológica Instituto Técnico Central (ETITC)</w:t>
      </w:r>
    </w:p>
    <w:p w14:paraId="5A73F788" w14:textId="62708930" w:rsidR="002F7ED7" w:rsidRDefault="00FF7565">
      <w:pPr>
        <w:spacing w:line="480" w:lineRule="auto"/>
        <w:jc w:val="center"/>
      </w:pPr>
      <w:proofErr w:type="spellStart"/>
      <w:r>
        <w:t>Programacion</w:t>
      </w:r>
      <w:proofErr w:type="spellEnd"/>
      <w:r>
        <w:t xml:space="preserve"> Web</w:t>
      </w:r>
    </w:p>
    <w:p w14:paraId="2DEC00D0" w14:textId="5E951C72" w:rsidR="002F7ED7" w:rsidRDefault="00FF7565">
      <w:pPr>
        <w:spacing w:line="480" w:lineRule="auto"/>
        <w:jc w:val="center"/>
      </w:pPr>
      <w:r>
        <w:t xml:space="preserve">Felipe Barbosa </w:t>
      </w:r>
    </w:p>
    <w:p w14:paraId="51E7EE53" w14:textId="77777777" w:rsidR="002F7ED7" w:rsidRDefault="00000000">
      <w:pPr>
        <w:spacing w:line="480" w:lineRule="auto"/>
        <w:jc w:val="center"/>
      </w:pPr>
      <w:r>
        <w:t>22 de septiembre de 2026</w:t>
      </w:r>
    </w:p>
    <w:p w14:paraId="49AEB9EC" w14:textId="77777777" w:rsidR="002F7ED7" w:rsidRDefault="00000000">
      <w:r>
        <w:br w:type="page"/>
      </w:r>
    </w:p>
    <w:p w14:paraId="4F1F6F6C" w14:textId="77777777" w:rsidR="002F7ED7" w:rsidRDefault="00000000">
      <w:pPr>
        <w:keepNext/>
        <w:spacing w:line="480" w:lineRule="auto"/>
        <w:jc w:val="center"/>
      </w:pPr>
      <w:r>
        <w:rPr>
          <w:b/>
          <w:bCs/>
        </w:rPr>
        <w:lastRenderedPageBreak/>
        <w:t>Auditoría y rediseño del sitio web ACPI: Asistente de Cruce Peatonal para Invidentes</w:t>
      </w:r>
    </w:p>
    <w:p w14:paraId="0402502A" w14:textId="77777777" w:rsidR="002F7ED7" w:rsidRDefault="00000000">
      <w:pPr>
        <w:spacing w:line="480" w:lineRule="auto"/>
        <w:ind w:firstLine="720"/>
      </w:pPr>
      <w:r>
        <w:t>ACPI es un sistema compuesto por una baliza instalada en el poste del semáforo y un brazalete que vibra para indicarle a una persona ciega o con baja visión si está orientada hacia el cruce y si ya puede pasar. El sitio web del proyecto tiene como propósito presentar ese sistema: explicar el problema que resuelve, mostrar el brazalete en su versión 3.0 y dar paso a las demás piezas (la aplicación móvil ACPIGPS y el panel de telemetría). Hoy el sitio cuenta con una portada, una página dedicada al brazalete y tres secciones marcadas como «Próximamente», construidas a partir de dos bocetos hechos a mano.</w:t>
      </w:r>
    </w:p>
    <w:p w14:paraId="67CA0B23" w14:textId="77777777" w:rsidR="002F7ED7" w:rsidRDefault="00000000">
      <w:pPr>
        <w:spacing w:line="480" w:lineRule="auto"/>
        <w:ind w:firstLine="720"/>
      </w:pPr>
      <w:r>
        <w:t xml:space="preserve">Este documento audita críticamente esa versión con base en las heurísticas de usabilidad de Nielsen (2024), los principios de claridad de Krug (2014) y las Pautas de Accesibilidad para el Contenido Web 2.2 (World Wide Web </w:t>
      </w:r>
      <w:proofErr w:type="spellStart"/>
      <w:r>
        <w:t>Consortium</w:t>
      </w:r>
      <w:proofErr w:type="spellEnd"/>
      <w:r>
        <w:t xml:space="preserve"> [W3C], 2023). El análisis se organiza en las cinco partes de la actividad: análisis personal, evaluación por pares, identificación de mejoras, propuesta de rediseño y presentación del antes y el después.</w:t>
      </w:r>
    </w:p>
    <w:p w14:paraId="4D1A1A2D" w14:textId="77777777" w:rsidR="002F7ED7" w:rsidRDefault="00000000">
      <w:pPr>
        <w:keepNext/>
        <w:spacing w:line="480" w:lineRule="auto"/>
        <w:jc w:val="center"/>
      </w:pPr>
      <w:r>
        <w:rPr>
          <w:b/>
          <w:bCs/>
        </w:rPr>
        <w:t>Parte 1. Análisis Personal</w:t>
      </w:r>
    </w:p>
    <w:p w14:paraId="7D6B0FBA" w14:textId="77777777" w:rsidR="002F7ED7" w:rsidRDefault="00000000">
      <w:pPr>
        <w:keepNext/>
        <w:spacing w:line="480" w:lineRule="auto"/>
      </w:pPr>
      <w:r>
        <w:rPr>
          <w:b/>
          <w:bCs/>
        </w:rPr>
        <w:t>Objetivo de la Página</w:t>
      </w:r>
    </w:p>
    <w:p w14:paraId="0F475B8B" w14:textId="77777777" w:rsidR="002F7ED7" w:rsidRDefault="00000000">
      <w:pPr>
        <w:keepNext/>
        <w:spacing w:line="480" w:lineRule="auto"/>
      </w:pPr>
      <w:r>
        <w:rPr>
          <w:b/>
          <w:bCs/>
          <w:i/>
          <w:iCs/>
        </w:rPr>
        <w:t>¿Se entiende para qué sirve la página en menos de 5 segundos?</w:t>
      </w:r>
    </w:p>
    <w:p w14:paraId="3F8F9879" w14:textId="77777777" w:rsidR="002F7ED7" w:rsidRDefault="00000000">
      <w:pPr>
        <w:spacing w:line="480" w:lineRule="auto"/>
        <w:ind w:firstLine="720"/>
      </w:pPr>
      <w:r>
        <w:t xml:space="preserve">Parcialmente. En los primeros segundos el visitante ve la fotografía del brazalete y el título «Asistencia Inteligente para Cruces Seguros». Esa combinación comunica que se trata de un dispositivo relacionado con la seguridad al cruzar la calle, pero no dice para quién es. La sigla ACPI aparece en la barra superior sin su significado visible (el nombre completo solo existe como texto para lectores de pantalla), y la frase que explica el producto —«ACPI traduce a vibración la información de un cruce peatonal»— está ubicada debajo de los botones. El orden de lectura resultante es título, botones y, por último, explicación, lo que obliga a leer el tercer </w:t>
      </w:r>
      <w:r>
        <w:lastRenderedPageBreak/>
        <w:t>bloque para entender lo que el primero debería haber dicho. Un visitante que solo escanee el encabezado y la imagen podría confundir el brazalete con un reloj inteligente genérico.</w:t>
      </w:r>
    </w:p>
    <w:p w14:paraId="02D91D8C" w14:textId="77777777" w:rsidR="002F7ED7" w:rsidRDefault="00000000">
      <w:pPr>
        <w:keepNext/>
        <w:spacing w:line="480" w:lineRule="auto"/>
      </w:pPr>
      <w:r>
        <w:rPr>
          <w:b/>
          <w:bCs/>
          <w:i/>
          <w:iCs/>
        </w:rPr>
        <w:t>¿La propuesta de valor es clara?</w:t>
      </w:r>
    </w:p>
    <w:p w14:paraId="5E4F3131" w14:textId="77777777" w:rsidR="002F7ED7" w:rsidRDefault="00000000">
      <w:pPr>
        <w:spacing w:line="480" w:lineRule="auto"/>
        <w:ind w:firstLine="720"/>
      </w:pPr>
      <w:r>
        <w:t>Sí, una vez se lee el párrafo introductorio y la sección «La respuesta». El sitio articula bien lo que diferencia a ACPI de otras ayudas: la información llega por vibración y no ocupa el oído, que es la principal herramienta para leer el tráfico; la decisión se toma dentro del propio brazalete, sin depender de internet; y el teléfono es opcional. El problema es de ubicación, no de contenido: esa propuesta está distribuida a lo largo de la página y el primer pantallazo no la condensa en una sola frase que nombre al usuario y el beneficio.</w:t>
      </w:r>
    </w:p>
    <w:p w14:paraId="1F1EFA86" w14:textId="77777777" w:rsidR="002F7ED7" w:rsidRDefault="00000000">
      <w:pPr>
        <w:keepNext/>
        <w:spacing w:line="480" w:lineRule="auto"/>
      </w:pPr>
      <w:r>
        <w:rPr>
          <w:b/>
          <w:bCs/>
        </w:rPr>
        <w:t>Usuario</w:t>
      </w:r>
    </w:p>
    <w:p w14:paraId="027DA95F" w14:textId="77777777" w:rsidR="002F7ED7" w:rsidRDefault="00000000">
      <w:pPr>
        <w:keepNext/>
        <w:spacing w:line="480" w:lineRule="auto"/>
      </w:pPr>
      <w:r>
        <w:rPr>
          <w:b/>
          <w:bCs/>
          <w:i/>
          <w:iCs/>
        </w:rPr>
        <w:t>¿La página fue diseñada pensando en el usuario definido inicialmente?</w:t>
      </w:r>
    </w:p>
    <w:p w14:paraId="29D747F4" w14:textId="77777777" w:rsidR="002F7ED7" w:rsidRDefault="00000000">
      <w:pPr>
        <w:spacing w:line="480" w:lineRule="auto"/>
        <w:ind w:firstLine="720"/>
      </w:pPr>
      <w:r>
        <w:t>El usuario del producto es la persona ciega o con baja visión. El sitio lo tiene presente en su construcción técnica: el anillo de foco es visible en toda la navegación por teclado, las imágenes tienen descripciones alternativas detalladas, las animaciones se desactivan cuando el sistema operativo solicita reducir el movimiento, el visor giratorio del brazalete se puede operar con las flechas del teclado y los comentarios flotantes se convierten en una lista en pantallas pequeñas, que es la lectura correcta para un lector de pantalla. Sin embargo, el lector real del sitio es mayoritariamente otro: jurados de feria, docentes, familiares y entidades de movilidad, que no necesitan usar el brazalete sino entenderlo y respaldarlo. El contenido habla de la persona usuaria en tercera persona, lo cual es adecuado para ese público, pero el sitio no declara explícitamente a quién se dirige ni qué se espera de cada tipo de visitante.</w:t>
      </w:r>
    </w:p>
    <w:p w14:paraId="42F01616" w14:textId="77777777" w:rsidR="002F7ED7" w:rsidRDefault="00000000">
      <w:pPr>
        <w:keepNext/>
        <w:spacing w:line="480" w:lineRule="auto"/>
      </w:pPr>
      <w:r>
        <w:rPr>
          <w:b/>
          <w:bCs/>
          <w:i/>
          <w:iCs/>
        </w:rPr>
        <w:lastRenderedPageBreak/>
        <w:t>¿Resuelve realmente una necesidad?</w:t>
      </w:r>
    </w:p>
    <w:p w14:paraId="0F8C2E8D" w14:textId="77777777" w:rsidR="002F7ED7" w:rsidRDefault="00000000">
      <w:pPr>
        <w:spacing w:line="480" w:lineRule="auto"/>
        <w:ind w:firstLine="720"/>
      </w:pPr>
      <w:r>
        <w:t>El producto sí: responde a tres preguntas concretas que un cruce peatonal solo contesta de forma visual (hacia dónde va el cruce, si ya se puede pasar y cuánto tiempo queda). El sitio resuelve la necesidad de informar sobre el brazalete, pero no la de presentar el sistema completo, porque tres de las cuatro secciones del menú (Telemetría, App móvil e Historia) todavía son páginas provisionales. Quien quiera entender cómo el sistema convierte cada cruce en información para la ciudad llega a un resumen de un párrafo y a la nota «Esta sección está a la espera de su boceto de diseño».</w:t>
      </w:r>
    </w:p>
    <w:p w14:paraId="0FE2818F" w14:textId="77777777" w:rsidR="002F7ED7" w:rsidRDefault="00000000">
      <w:pPr>
        <w:keepNext/>
        <w:spacing w:line="480" w:lineRule="auto"/>
      </w:pPr>
      <w:r>
        <w:rPr>
          <w:b/>
          <w:bCs/>
        </w:rPr>
        <w:t>Conversión</w:t>
      </w:r>
    </w:p>
    <w:p w14:paraId="7F911679" w14:textId="77777777" w:rsidR="002F7ED7" w:rsidRDefault="00000000">
      <w:pPr>
        <w:keepNext/>
        <w:spacing w:line="480" w:lineRule="auto"/>
      </w:pPr>
      <w:r>
        <w:rPr>
          <w:b/>
          <w:bCs/>
          <w:i/>
          <w:iCs/>
        </w:rPr>
        <w:t>¿Existe un CTA principal?</w:t>
      </w:r>
    </w:p>
    <w:p w14:paraId="7C1823C1" w14:textId="77777777" w:rsidR="002F7ED7" w:rsidRDefault="00000000">
      <w:pPr>
        <w:spacing w:line="480" w:lineRule="auto"/>
        <w:ind w:firstLine="720"/>
      </w:pPr>
      <w:r>
        <w:t>Sí. El botón verde «Conocer el brazalete» es la acción principal de la portada y está acompañado por un botón secundario, «¿Por qué ACPI?», que desplaza la página hasta la sección del problema. La jerarquía entre ambos está bien resuelta: el principal es relleno y de color, y el secundario es de contorno.</w:t>
      </w:r>
    </w:p>
    <w:p w14:paraId="4520906F" w14:textId="77777777" w:rsidR="002F7ED7" w:rsidRDefault="00000000">
      <w:pPr>
        <w:keepNext/>
        <w:spacing w:line="480" w:lineRule="auto"/>
      </w:pPr>
      <w:r>
        <w:rPr>
          <w:b/>
          <w:bCs/>
          <w:i/>
          <w:iCs/>
        </w:rPr>
        <w:t>¿Es visible?</w:t>
      </w:r>
    </w:p>
    <w:p w14:paraId="0D51CCC4" w14:textId="77777777" w:rsidR="002F7ED7" w:rsidRDefault="00000000">
      <w:pPr>
        <w:spacing w:line="480" w:lineRule="auto"/>
        <w:ind w:firstLine="720"/>
      </w:pPr>
      <w:r>
        <w:t>Sí. Está en el primer pantallazo, junto al título, con texto blanco sobre verde (#14795A) y una relación de contraste de 5.37:1, superior al mínimo de 4.5:1 que exige el criterio 1.4.3 de las WCAG 2.2 (W3C, 2023). Además, crece levemente al recibir el foco o el puntero, lo que refuerza su condición de elemento accionable.</w:t>
      </w:r>
    </w:p>
    <w:p w14:paraId="162937E6" w14:textId="77777777" w:rsidR="002F7ED7" w:rsidRDefault="00000000">
      <w:pPr>
        <w:keepNext/>
        <w:spacing w:line="480" w:lineRule="auto"/>
      </w:pPr>
      <w:r>
        <w:rPr>
          <w:b/>
          <w:bCs/>
          <w:i/>
          <w:iCs/>
        </w:rPr>
        <w:t>¿Invita a la acción?</w:t>
      </w:r>
    </w:p>
    <w:p w14:paraId="46522AFA" w14:textId="77777777" w:rsidR="002F7ED7" w:rsidRDefault="00000000">
      <w:pPr>
        <w:spacing w:line="480" w:lineRule="auto"/>
        <w:ind w:firstLine="720"/>
      </w:pPr>
      <w:r>
        <w:t xml:space="preserve">Invita a explorar, no a actuar. «Conocer el brazalete» es un enlace de navegación: lleva al visitante a otra página informativa, pero el recorrido no termina en ningún objetivo medible. El sitio no tiene formulario de contacto, correo, enlace a redes ni una invitación a solicitar una </w:t>
      </w:r>
      <w:r>
        <w:lastRenderedPageBreak/>
        <w:t>demostración o a participar en las pruebas de campo, que el propio pie de página señala como decisivas. Desde el punto de vista de conversión, el embudo termina en la página del brazalete, cuyas tarjetas de cierre conducen a secciones que todavía están vacías.</w:t>
      </w:r>
    </w:p>
    <w:p w14:paraId="59478A0B" w14:textId="77777777" w:rsidR="002F7ED7" w:rsidRDefault="00000000">
      <w:pPr>
        <w:keepNext/>
        <w:spacing w:line="480" w:lineRule="auto"/>
        <w:jc w:val="center"/>
      </w:pPr>
      <w:r>
        <w:rPr>
          <w:b/>
          <w:bCs/>
        </w:rPr>
        <w:t>Parte 2. Evaluación por Compañeros</w:t>
      </w:r>
    </w:p>
    <w:p w14:paraId="28879DF1" w14:textId="77777777" w:rsidR="002F7ED7" w:rsidRDefault="00000000">
      <w:pPr>
        <w:spacing w:line="480" w:lineRule="auto"/>
        <w:ind w:firstLine="720"/>
      </w:pPr>
      <w:r>
        <w:t>La Tabla 1 recoge una evaluación preliminar realizada con la misma lista de chequeo que diligenciarán los compañeros. Se incluye como línea base para contrastarla con los resultados del intercambio entre grupos; las casillas deben reemplazarse por las respuestas de los evaluadores externos.</w:t>
      </w:r>
    </w:p>
    <w:p w14:paraId="75C2E723" w14:textId="77777777" w:rsidR="002F7ED7" w:rsidRDefault="00000000">
      <w:pPr>
        <w:keepNext/>
        <w:spacing w:line="480" w:lineRule="auto"/>
      </w:pPr>
      <w:r>
        <w:rPr>
          <w:b/>
          <w:bCs/>
        </w:rPr>
        <w:t>Tabla 1</w:t>
      </w:r>
    </w:p>
    <w:p w14:paraId="512A1995" w14:textId="77777777" w:rsidR="002F7ED7" w:rsidRDefault="00000000">
      <w:pPr>
        <w:keepNext/>
        <w:spacing w:line="480" w:lineRule="auto"/>
      </w:pPr>
      <w:r>
        <w:rPr>
          <w:i/>
          <w:iCs/>
        </w:rPr>
        <w:t>Lista de chequeo de la evaluación preliminar del sitio ACPI</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700"/>
        <w:gridCol w:w="700"/>
        <w:gridCol w:w="4960"/>
      </w:tblGrid>
      <w:tr w:rsidR="002F7ED7" w14:paraId="00733555" w14:textId="77777777">
        <w:tblPrEx>
          <w:tblCellMar>
            <w:top w:w="0" w:type="dxa"/>
            <w:bottom w:w="0" w:type="dxa"/>
          </w:tblCellMar>
        </w:tblPrEx>
        <w:trPr>
          <w:tblHeader/>
        </w:trPr>
        <w:tc>
          <w:tcPr>
            <w:tcW w:w="3000" w:type="dxa"/>
            <w:tcBorders>
              <w:top w:val="single" w:sz="8" w:space="0" w:color="000000"/>
              <w:left w:val="none" w:sz="0" w:space="0" w:color="FFFFFF"/>
              <w:bottom w:val="single" w:sz="8" w:space="0" w:color="000000"/>
              <w:right w:val="none" w:sz="0" w:space="0" w:color="FFFFFF"/>
            </w:tcBorders>
            <w:tcMar>
              <w:top w:w="60" w:type="dxa"/>
              <w:left w:w="100" w:type="dxa"/>
              <w:bottom w:w="60" w:type="dxa"/>
              <w:right w:w="100" w:type="dxa"/>
            </w:tcMar>
          </w:tcPr>
          <w:p w14:paraId="57244A4F" w14:textId="77777777" w:rsidR="002F7ED7" w:rsidRDefault="00000000">
            <w:r>
              <w:rPr>
                <w:b/>
                <w:bCs/>
              </w:rPr>
              <w:t>Aspecto</w:t>
            </w:r>
          </w:p>
        </w:tc>
        <w:tc>
          <w:tcPr>
            <w:tcW w:w="700" w:type="dxa"/>
            <w:tcBorders>
              <w:top w:val="single" w:sz="8" w:space="0" w:color="000000"/>
              <w:left w:val="none" w:sz="0" w:space="0" w:color="FFFFFF"/>
              <w:bottom w:val="single" w:sz="8" w:space="0" w:color="000000"/>
              <w:right w:val="none" w:sz="0" w:space="0" w:color="FFFFFF"/>
            </w:tcBorders>
            <w:tcMar>
              <w:top w:w="60" w:type="dxa"/>
              <w:left w:w="100" w:type="dxa"/>
              <w:bottom w:w="60" w:type="dxa"/>
              <w:right w:w="100" w:type="dxa"/>
            </w:tcMar>
          </w:tcPr>
          <w:p w14:paraId="2643A918" w14:textId="77777777" w:rsidR="002F7ED7" w:rsidRDefault="00000000">
            <w:pPr>
              <w:jc w:val="center"/>
            </w:pPr>
            <w:r>
              <w:rPr>
                <w:b/>
                <w:bCs/>
              </w:rPr>
              <w:t>Sí</w:t>
            </w:r>
          </w:p>
        </w:tc>
        <w:tc>
          <w:tcPr>
            <w:tcW w:w="700" w:type="dxa"/>
            <w:tcBorders>
              <w:top w:val="single" w:sz="8" w:space="0" w:color="000000"/>
              <w:left w:val="none" w:sz="0" w:space="0" w:color="FFFFFF"/>
              <w:bottom w:val="single" w:sz="8" w:space="0" w:color="000000"/>
              <w:right w:val="none" w:sz="0" w:space="0" w:color="FFFFFF"/>
            </w:tcBorders>
            <w:tcMar>
              <w:top w:w="60" w:type="dxa"/>
              <w:left w:w="100" w:type="dxa"/>
              <w:bottom w:w="60" w:type="dxa"/>
              <w:right w:w="100" w:type="dxa"/>
            </w:tcMar>
          </w:tcPr>
          <w:p w14:paraId="0CBAC2E2" w14:textId="77777777" w:rsidR="002F7ED7" w:rsidRDefault="00000000">
            <w:pPr>
              <w:jc w:val="center"/>
            </w:pPr>
            <w:r>
              <w:rPr>
                <w:b/>
                <w:bCs/>
              </w:rPr>
              <w:t>No</w:t>
            </w:r>
          </w:p>
        </w:tc>
        <w:tc>
          <w:tcPr>
            <w:tcW w:w="4960" w:type="dxa"/>
            <w:tcBorders>
              <w:top w:val="single" w:sz="8" w:space="0" w:color="000000"/>
              <w:left w:val="none" w:sz="0" w:space="0" w:color="FFFFFF"/>
              <w:bottom w:val="single" w:sz="8" w:space="0" w:color="000000"/>
              <w:right w:val="none" w:sz="0" w:space="0" w:color="FFFFFF"/>
            </w:tcBorders>
            <w:tcMar>
              <w:top w:w="60" w:type="dxa"/>
              <w:left w:w="100" w:type="dxa"/>
              <w:bottom w:w="60" w:type="dxa"/>
              <w:right w:w="100" w:type="dxa"/>
            </w:tcMar>
          </w:tcPr>
          <w:p w14:paraId="73D2FE50" w14:textId="77777777" w:rsidR="002F7ED7" w:rsidRDefault="00000000">
            <w:r>
              <w:rPr>
                <w:b/>
                <w:bCs/>
              </w:rPr>
              <w:t>Observación</w:t>
            </w:r>
          </w:p>
        </w:tc>
      </w:tr>
      <w:tr w:rsidR="002F7ED7" w14:paraId="3E18AF00"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D1B181" w14:textId="77777777" w:rsidR="002F7ED7" w:rsidRDefault="00000000">
            <w:r>
              <w:t>Comprendí el objetivo de la página</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938179" w14:textId="77777777" w:rsidR="002F7ED7" w:rsidRDefault="00000000">
            <w:pPr>
              <w:jc w:val="center"/>
            </w:pPr>
            <w:r>
              <w:t>☒</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DADB92" w14:textId="77777777" w:rsidR="002F7ED7" w:rsidRDefault="00000000">
            <w:pPr>
              <w:jc w:val="center"/>
            </w:pPr>
            <w:r>
              <w:t>☐</w:t>
            </w:r>
          </w:p>
        </w:tc>
        <w:tc>
          <w:tcPr>
            <w:tcW w:w="4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2636FE" w14:textId="77777777" w:rsidR="002F7ED7" w:rsidRDefault="00000000">
            <w:r>
              <w:t>Se comprende tras leer el párrafo que está debajo de los botones; el título por sí solo es ambiguo.</w:t>
            </w:r>
          </w:p>
        </w:tc>
      </w:tr>
      <w:tr w:rsidR="002F7ED7" w14:paraId="13509709"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FE6F3C" w14:textId="77777777" w:rsidR="002F7ED7" w:rsidRDefault="00000000">
            <w:r>
              <w:t>Identifiqué fácilmente al usuario objetivo</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FE41A3" w14:textId="77777777" w:rsidR="002F7ED7" w:rsidRDefault="00000000">
            <w:pPr>
              <w:jc w:val="center"/>
            </w:pPr>
            <w:r>
              <w:t>☐</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28F92F" w14:textId="77777777" w:rsidR="002F7ED7" w:rsidRDefault="00000000">
            <w:pPr>
              <w:jc w:val="center"/>
            </w:pPr>
            <w:r>
              <w:t>☒</w:t>
            </w:r>
          </w:p>
        </w:tc>
        <w:tc>
          <w:tcPr>
            <w:tcW w:w="4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EC5A49" w14:textId="77777777" w:rsidR="002F7ED7" w:rsidRDefault="00000000">
            <w:r>
              <w:t>El primer pantallazo no menciona a las personas ciegas o con baja visión, y la sigla ACPI no se expande visualmente.</w:t>
            </w:r>
          </w:p>
        </w:tc>
      </w:tr>
      <w:tr w:rsidR="002F7ED7" w14:paraId="7190883C"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BEF922" w14:textId="77777777" w:rsidR="002F7ED7" w:rsidRDefault="00000000">
            <w:r>
              <w:t>Encontré rápidamente la información principal</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683E0E" w14:textId="77777777" w:rsidR="002F7ED7" w:rsidRDefault="00000000">
            <w:pPr>
              <w:jc w:val="center"/>
            </w:pPr>
            <w:r>
              <w:t>☒</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217B78" w14:textId="77777777" w:rsidR="002F7ED7" w:rsidRDefault="00000000">
            <w:pPr>
              <w:jc w:val="center"/>
            </w:pPr>
            <w:r>
              <w:t>☐</w:t>
            </w:r>
          </w:p>
        </w:tc>
        <w:tc>
          <w:tcPr>
            <w:tcW w:w="4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8AA95F" w14:textId="77777777" w:rsidR="002F7ED7" w:rsidRDefault="00000000">
            <w:r>
              <w:t>La secuencia problema, respuesta y sistema es lógica y fácil de recorrer.</w:t>
            </w:r>
          </w:p>
        </w:tc>
      </w:tr>
      <w:tr w:rsidR="002F7ED7" w14:paraId="772DD3A3"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C7671F" w14:textId="77777777" w:rsidR="002F7ED7" w:rsidRDefault="00000000">
            <w:r>
              <w:t>El menú es claro</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CBFDE3" w14:textId="77777777" w:rsidR="002F7ED7" w:rsidRDefault="00000000">
            <w:pPr>
              <w:jc w:val="center"/>
            </w:pPr>
            <w:r>
              <w:t>☒</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D796FB" w14:textId="77777777" w:rsidR="002F7ED7" w:rsidRDefault="00000000">
            <w:pPr>
              <w:jc w:val="center"/>
            </w:pPr>
            <w:r>
              <w:t>☐</w:t>
            </w:r>
          </w:p>
        </w:tc>
        <w:tc>
          <w:tcPr>
            <w:tcW w:w="4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C7C06C" w14:textId="77777777" w:rsidR="002F7ED7" w:rsidRDefault="00000000">
            <w:r>
              <w:t>Las etiquetas son cortas y comprensibles, pero tres de las cuatro llevan a páginas provisionales sin avisarlo.</w:t>
            </w:r>
          </w:p>
        </w:tc>
      </w:tr>
      <w:tr w:rsidR="002F7ED7" w14:paraId="33F2399B"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1CFD57" w14:textId="77777777" w:rsidR="002F7ED7" w:rsidRDefault="00000000">
            <w:r>
              <w:t>El diseño es agradable</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2FC673" w14:textId="77777777" w:rsidR="002F7ED7" w:rsidRDefault="00000000">
            <w:pPr>
              <w:jc w:val="center"/>
            </w:pPr>
            <w:r>
              <w:t>☒</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DD0D6E" w14:textId="77777777" w:rsidR="002F7ED7" w:rsidRDefault="00000000">
            <w:pPr>
              <w:jc w:val="center"/>
            </w:pPr>
            <w:r>
              <w:t>☐</w:t>
            </w:r>
          </w:p>
        </w:tc>
        <w:tc>
          <w:tcPr>
            <w:tcW w:w="4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592520" w14:textId="77777777" w:rsidR="002F7ED7" w:rsidRDefault="00000000">
            <w:r>
              <w:t>Estética limpia, paleta reducida y buen uso del espacio en blanco.</w:t>
            </w:r>
          </w:p>
        </w:tc>
      </w:tr>
      <w:tr w:rsidR="002F7ED7" w14:paraId="38C46BF2"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98C83F" w14:textId="77777777" w:rsidR="002F7ED7" w:rsidRDefault="00000000">
            <w:r>
              <w:t>El CTA es visible</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470A07" w14:textId="77777777" w:rsidR="002F7ED7" w:rsidRDefault="00000000">
            <w:pPr>
              <w:jc w:val="center"/>
            </w:pPr>
            <w:r>
              <w:t>☒</w:t>
            </w:r>
          </w:p>
        </w:tc>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58932D" w14:textId="77777777" w:rsidR="002F7ED7" w:rsidRDefault="00000000">
            <w:pPr>
              <w:jc w:val="center"/>
            </w:pPr>
            <w:r>
              <w:t>☐</w:t>
            </w:r>
          </w:p>
        </w:tc>
        <w:tc>
          <w:tcPr>
            <w:tcW w:w="4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12D6BA" w14:textId="77777777" w:rsidR="002F7ED7" w:rsidRDefault="00000000">
            <w:r>
              <w:t>Botón verde de alto contraste en el primer pantallazo.</w:t>
            </w:r>
          </w:p>
        </w:tc>
      </w:tr>
      <w:tr w:rsidR="002F7ED7" w14:paraId="402FA087" w14:textId="77777777">
        <w:tblPrEx>
          <w:tblCellMar>
            <w:top w:w="0" w:type="dxa"/>
            <w:bottom w:w="0" w:type="dxa"/>
          </w:tblCellMar>
        </w:tblPrEx>
        <w:trPr>
          <w:cantSplit/>
        </w:trPr>
        <w:tc>
          <w:tcPr>
            <w:tcW w:w="30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626DFC9A" w14:textId="77777777" w:rsidR="002F7ED7" w:rsidRDefault="00000000">
            <w:r>
              <w:t>La página genera confianza</w:t>
            </w:r>
          </w:p>
        </w:tc>
        <w:tc>
          <w:tcPr>
            <w:tcW w:w="7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30808A0C" w14:textId="77777777" w:rsidR="002F7ED7" w:rsidRDefault="00000000">
            <w:pPr>
              <w:jc w:val="center"/>
            </w:pPr>
            <w:r>
              <w:t>☐</w:t>
            </w:r>
          </w:p>
        </w:tc>
        <w:tc>
          <w:tcPr>
            <w:tcW w:w="7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E3CA9A1" w14:textId="77777777" w:rsidR="002F7ED7" w:rsidRDefault="00000000">
            <w:pPr>
              <w:jc w:val="center"/>
            </w:pPr>
            <w:r>
              <w:t>☒</w:t>
            </w:r>
          </w:p>
        </w:tc>
        <w:tc>
          <w:tcPr>
            <w:tcW w:w="496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84452F8" w14:textId="77777777" w:rsidR="002F7ED7" w:rsidRDefault="00000000">
            <w:r>
              <w:t>Faltan evidencias (video, pruebas), información del equipo y un canal de contacto; las secciones «Próximamente» restan solidez.</w:t>
            </w:r>
          </w:p>
        </w:tc>
      </w:tr>
    </w:tbl>
    <w:p w14:paraId="7E2E29DD" w14:textId="77777777" w:rsidR="002F7ED7" w:rsidRDefault="00000000">
      <w:pPr>
        <w:spacing w:line="480" w:lineRule="auto"/>
      </w:pPr>
      <w:r>
        <w:rPr>
          <w:i/>
          <w:iCs/>
        </w:rPr>
        <w:t>Nota.</w:t>
      </w:r>
      <w:r>
        <w:t xml:space="preserve"> ☒ = opción marcada; ☐ = opción no marcada. Evaluación preliminar del equipo, pendiente de contraste con la de los compañeros.</w:t>
      </w:r>
    </w:p>
    <w:p w14:paraId="4C0906C9" w14:textId="77777777" w:rsidR="002F7ED7" w:rsidRDefault="00000000">
      <w:pPr>
        <w:keepNext/>
        <w:spacing w:line="480" w:lineRule="auto"/>
        <w:jc w:val="center"/>
      </w:pPr>
      <w:r>
        <w:rPr>
          <w:b/>
          <w:bCs/>
        </w:rPr>
        <w:lastRenderedPageBreak/>
        <w:t>Parte 3. Identificación de Mejoras</w:t>
      </w:r>
    </w:p>
    <w:p w14:paraId="11561E78" w14:textId="77777777" w:rsidR="002F7ED7" w:rsidRDefault="00000000">
      <w:pPr>
        <w:keepNext/>
        <w:spacing w:line="480" w:lineRule="auto"/>
      </w:pPr>
      <w:r>
        <w:rPr>
          <w:b/>
          <w:bCs/>
        </w:rPr>
        <w:t>Fortalezas</w:t>
      </w:r>
    </w:p>
    <w:p w14:paraId="2FDBA614" w14:textId="77777777" w:rsidR="002F7ED7" w:rsidRDefault="00000000">
      <w:pPr>
        <w:pStyle w:val="ListParagraph"/>
        <w:numPr>
          <w:ilvl w:val="0"/>
          <w:numId w:val="2"/>
        </w:numPr>
        <w:spacing w:line="480" w:lineRule="auto"/>
      </w:pPr>
      <w:r>
        <w:rPr>
          <w:b/>
          <w:bCs/>
        </w:rPr>
        <w:t>Diseño limpio y coherente con su origen.</w:t>
      </w:r>
      <w:r>
        <w:t xml:space="preserve"> El fondo de papel cuadriculado traduce a la interfaz el boceto hecho a mano, y la paleta se limita a tinta, un verde tomado del semáforo en paso y un ámbar de cuenta regresiva. Los componentes compartidos (botones, tarjetas, encabezados de sección) mantienen la consistencia visual entre páginas.</w:t>
      </w:r>
    </w:p>
    <w:p w14:paraId="187F27DB" w14:textId="77777777" w:rsidR="002F7ED7" w:rsidRDefault="00000000">
      <w:pPr>
        <w:pStyle w:val="ListParagraph"/>
        <w:numPr>
          <w:ilvl w:val="0"/>
          <w:numId w:val="2"/>
        </w:numPr>
        <w:spacing w:line="480" w:lineRule="auto"/>
      </w:pPr>
      <w:r>
        <w:rPr>
          <w:b/>
          <w:bCs/>
        </w:rPr>
        <w:t>Accesibilidad como fundamento y no como añadido.</w:t>
      </w:r>
      <w:r>
        <w:t xml:space="preserve"> Foco visible, textos alternativos descriptivos, respeto por la preferencia de movimiento reducido, estructura semántica de encabezados, menú móvil con el patrón de divulgación accesible y un visor giratorio operable por teclado. Para un proyecto dirigido a personas con discapacidad visual, esta coherencia entre el mensaje y la forma es en sí misma un argumento de credibilidad.</w:t>
      </w:r>
    </w:p>
    <w:p w14:paraId="6128C72F" w14:textId="77777777" w:rsidR="002F7ED7" w:rsidRDefault="00000000">
      <w:pPr>
        <w:pStyle w:val="ListParagraph"/>
        <w:numPr>
          <w:ilvl w:val="0"/>
          <w:numId w:val="2"/>
        </w:numPr>
        <w:spacing w:line="480" w:lineRule="auto"/>
      </w:pPr>
      <w:r>
        <w:rPr>
          <w:b/>
          <w:bCs/>
        </w:rPr>
        <w:t>Contenido claro, ordenado y honesto.</w:t>
      </w:r>
      <w:r>
        <w:t xml:space="preserve"> La portada sigue un recorrido narrativo lógico (el problema, la respuesta y el sistema) y el texto describe solo lo que el prototipo hace hoy, sin prometer funciones inexistentes. La navegación superior es corta y predecible.</w:t>
      </w:r>
    </w:p>
    <w:p w14:paraId="746E52FA" w14:textId="77777777" w:rsidR="002F7ED7" w:rsidRDefault="00000000">
      <w:pPr>
        <w:keepNext/>
        <w:spacing w:line="480" w:lineRule="auto"/>
      </w:pPr>
      <w:r>
        <w:rPr>
          <w:b/>
          <w:bCs/>
        </w:rPr>
        <w:t>Oportunidades de Mejora</w:t>
      </w:r>
    </w:p>
    <w:p w14:paraId="47723928" w14:textId="77777777" w:rsidR="002F7ED7" w:rsidRDefault="00000000">
      <w:pPr>
        <w:pStyle w:val="ListParagraph"/>
        <w:numPr>
          <w:ilvl w:val="0"/>
          <w:numId w:val="3"/>
        </w:numPr>
        <w:spacing w:line="480" w:lineRule="auto"/>
      </w:pPr>
      <w:r>
        <w:rPr>
          <w:b/>
          <w:bCs/>
        </w:rPr>
        <w:t>Primer pantallazo ambiguo.</w:t>
      </w:r>
      <w:r>
        <w:t xml:space="preserve"> El título no nombra al usuario ni el mecanismo, la sigla no se explica y la descripción aparece después de los botones. Esto incumple el principio de Krug (2014) según el cual una página debe ser evidente por sí misma, sin exigir que el visitante piense para entenderla.</w:t>
      </w:r>
    </w:p>
    <w:p w14:paraId="04078296" w14:textId="77777777" w:rsidR="002F7ED7" w:rsidRDefault="00000000">
      <w:pPr>
        <w:pStyle w:val="ListParagraph"/>
        <w:numPr>
          <w:ilvl w:val="0"/>
          <w:numId w:val="3"/>
        </w:numPr>
        <w:spacing w:line="480" w:lineRule="auto"/>
      </w:pPr>
      <w:r>
        <w:rPr>
          <w:b/>
          <w:bCs/>
        </w:rPr>
        <w:t>Ausencia de una acción de conversión y de señales de confianza.</w:t>
      </w:r>
      <w:r>
        <w:t xml:space="preserve"> No hay formulario, correo ni invitación concreta (demostración, pruebas de campo, alianzas). Tampoco hay </w:t>
      </w:r>
      <w:r>
        <w:lastRenderedPageBreak/>
        <w:t>información del equipo, evidencias del prototipo funcionando ni respaldo institucional más allá de la mención a la ETITC en el pie de página.</w:t>
      </w:r>
    </w:p>
    <w:p w14:paraId="2F2959CF" w14:textId="77777777" w:rsidR="002F7ED7" w:rsidRDefault="00000000">
      <w:pPr>
        <w:pStyle w:val="ListParagraph"/>
        <w:numPr>
          <w:ilvl w:val="0"/>
          <w:numId w:val="3"/>
        </w:numPr>
        <w:spacing w:line="480" w:lineRule="auto"/>
      </w:pPr>
      <w:r>
        <w:rPr>
          <w:b/>
          <w:bCs/>
        </w:rPr>
        <w:t>Navegación que promete más de lo que entrega y contraste insuficiente en textos secundarios.</w:t>
      </w:r>
      <w:r>
        <w:t xml:space="preserve"> Tres de cuatro enlaces del menú conducen a páginas provisionales, lo que contradice la heurística de correspondencia entre el sistema y las expectativas del usuario (Nielsen, 2024). Además, el gris de los textos auxiliares (#8B8F98) tiene un contraste de 3.05:1 sobre el fondo, y la etiqueta ámbar «Próximamente» (#B9791A) uno de 3.40:1; ambos están por debajo del mínimo de 4.5:1 para texto normal (W3C, 2023), una falla especialmente sensible en un sitio sobre baja visión.</w:t>
      </w:r>
    </w:p>
    <w:p w14:paraId="60671F35" w14:textId="77777777" w:rsidR="002F7ED7" w:rsidRDefault="00000000">
      <w:pPr>
        <w:keepNext/>
        <w:spacing w:line="480" w:lineRule="auto"/>
        <w:jc w:val="center"/>
      </w:pPr>
      <w:r>
        <w:rPr>
          <w:b/>
          <w:bCs/>
        </w:rPr>
        <w:t>Parte 4. Rediseño</w:t>
      </w:r>
    </w:p>
    <w:p w14:paraId="6F251941" w14:textId="77777777" w:rsidR="002F7ED7" w:rsidRDefault="00000000">
      <w:pPr>
        <w:spacing w:line="480" w:lineRule="auto"/>
        <w:ind w:firstLine="720"/>
      </w:pPr>
      <w:r>
        <w:t>Las modificaciones propuestas se agrupan en los tres frentes de la actividad. Todas conservan la identidad del boceto original y la arquitectura actual del sitio, de modo que pueden implementarse de forma incremental.</w:t>
      </w:r>
    </w:p>
    <w:p w14:paraId="7D46CD1E" w14:textId="77777777" w:rsidR="002F7ED7" w:rsidRDefault="00000000">
      <w:pPr>
        <w:keepNext/>
        <w:spacing w:line="480" w:lineRule="auto"/>
      </w:pPr>
      <w:r>
        <w:rPr>
          <w:b/>
          <w:bCs/>
        </w:rPr>
        <w:t>Experiencia de Usuario (UX)</w:t>
      </w:r>
    </w:p>
    <w:p w14:paraId="2037F781" w14:textId="77777777" w:rsidR="002F7ED7" w:rsidRDefault="00000000">
      <w:pPr>
        <w:spacing w:line="480" w:lineRule="auto"/>
        <w:ind w:firstLine="720"/>
      </w:pPr>
      <w:r>
        <w:rPr>
          <w:b/>
          <w:bCs/>
        </w:rPr>
        <w:t>Reorganizar el primer pantallazo.</w:t>
      </w:r>
      <w:r>
        <w:t xml:space="preserve"> El orden pasa a ser título, subtítulo, descripción breve y acciones. Se añade un subtítulo que nombre al usuario y el mecanismo, por ejemplo: «Un brazalete que vibra para guiar a personas ciegas o con baja visión en los cruces peatonales». La sigla se expande visualmente junto al logotipo o en la primera línea del texto.</w:t>
      </w:r>
    </w:p>
    <w:p w14:paraId="1E1ED03B" w14:textId="77777777" w:rsidR="002F7ED7" w:rsidRDefault="00000000">
      <w:pPr>
        <w:spacing w:line="480" w:lineRule="auto"/>
        <w:ind w:firstLine="720"/>
      </w:pPr>
      <w:r>
        <w:rPr>
          <w:b/>
          <w:bCs/>
        </w:rPr>
        <w:t>Añadir un bloque «¿Cómo funciona?» en tres pasos.</w:t>
      </w:r>
      <w:r>
        <w:t xml:space="preserve"> La baliza anuncia la dirección y el estado del cruce, el brazalete lo compara con la orientación de la muñeca, y la vibración indica hacia dónde girar o confirma que se puede cruzar. Este bloque sustituye varios párrafos por un recorrido visual que se entiende de un vistazo.</w:t>
      </w:r>
    </w:p>
    <w:p w14:paraId="1F271C09" w14:textId="77777777" w:rsidR="002F7ED7" w:rsidRDefault="00000000">
      <w:pPr>
        <w:spacing w:line="480" w:lineRule="auto"/>
        <w:ind w:firstLine="720"/>
      </w:pPr>
      <w:r>
        <w:rPr>
          <w:b/>
          <w:bCs/>
        </w:rPr>
        <w:lastRenderedPageBreak/>
        <w:t>Simplificar la navegación.</w:t>
      </w:r>
      <w:r>
        <w:t xml:space="preserve"> Mientras no existan los diseños de Telemetría, App móvil e Historia, las páginas provisionales se agrupan bajo un único enlace «El sistema» o se marcan en el propio menú con una etiqueta «Pronto», para que el visitante sepa lo que encontrará antes de hacer clic. Se añade al menú un enlace «Contacto».</w:t>
      </w:r>
    </w:p>
    <w:p w14:paraId="3A6B4C61" w14:textId="77777777" w:rsidR="002F7ED7" w:rsidRDefault="00000000">
      <w:pPr>
        <w:keepNext/>
        <w:spacing w:line="480" w:lineRule="auto"/>
      </w:pPr>
      <w:r>
        <w:rPr>
          <w:b/>
          <w:bCs/>
        </w:rPr>
        <w:t>Interfaz de Usuario (UI)</w:t>
      </w:r>
    </w:p>
    <w:p w14:paraId="415DE72D" w14:textId="77777777" w:rsidR="002F7ED7" w:rsidRDefault="00000000">
      <w:pPr>
        <w:spacing w:line="480" w:lineRule="auto"/>
        <w:ind w:firstLine="720"/>
      </w:pPr>
      <w:r>
        <w:rPr>
          <w:b/>
          <w:bCs/>
        </w:rPr>
        <w:t>Ajustar colores para cumplir el nivel AA.</w:t>
      </w:r>
      <w:r>
        <w:t xml:space="preserve"> El gris auxiliar pasa de #8B8F98 a #686C75 (contraste de 4.95:1 sobre el fondo) y el ámbar de texto de #B9791A a #8A5A12 (5.56:1), sin alterar el carácter de la paleta.</w:t>
      </w:r>
    </w:p>
    <w:p w14:paraId="4A7A7D31" w14:textId="77777777" w:rsidR="002F7ED7" w:rsidRDefault="00000000">
      <w:pPr>
        <w:spacing w:line="480" w:lineRule="auto"/>
        <w:ind w:firstLine="720"/>
      </w:pPr>
      <w:r>
        <w:rPr>
          <w:b/>
          <w:bCs/>
        </w:rPr>
        <w:t>Mejorar la tipografía.</w:t>
      </w:r>
      <w:r>
        <w:t xml:space="preserve"> Se propone adoptar Atkinson Hyperlegible, una familia tipográfica diseñada por el Braille </w:t>
      </w:r>
      <w:proofErr w:type="spellStart"/>
      <w:r>
        <w:t>Institute</w:t>
      </w:r>
      <w:proofErr w:type="spellEnd"/>
      <w:r>
        <w:t xml:space="preserve"> para lectores con baja visión, cuyos caracteres se diferencian con claridad entre sí. Además de mejorar la legibilidad, la elección refuerza el mensaje del proyecto y da al sitio una voz tipográfica propia frente a la fuente genérica del sistema.</w:t>
      </w:r>
    </w:p>
    <w:p w14:paraId="5821A474" w14:textId="77777777" w:rsidR="002F7ED7" w:rsidRDefault="00000000">
      <w:pPr>
        <w:spacing w:line="480" w:lineRule="auto"/>
        <w:ind w:firstLine="720"/>
      </w:pPr>
      <w:r>
        <w:rPr>
          <w:b/>
          <w:bCs/>
        </w:rPr>
        <w:t>Reforzar la consistencia visual.</w:t>
      </w:r>
      <w:r>
        <w:t xml:space="preserve"> Unificar el color de las etiquetas superiores de sección y representar el lenguaje de vibración (dos pulsos, lado derecho, lado izquierdo, alerta) con un conjunto de íconos coherente que pueda reutilizarse en todas las páginas.</w:t>
      </w:r>
    </w:p>
    <w:p w14:paraId="1DAEE650" w14:textId="77777777" w:rsidR="002F7ED7" w:rsidRDefault="00000000">
      <w:pPr>
        <w:keepNext/>
        <w:spacing w:line="480" w:lineRule="auto"/>
      </w:pPr>
      <w:r>
        <w:rPr>
          <w:b/>
          <w:bCs/>
        </w:rPr>
        <w:t>Conversión</w:t>
      </w:r>
    </w:p>
    <w:p w14:paraId="59C63B51" w14:textId="77777777" w:rsidR="002F7ED7" w:rsidRDefault="00000000">
      <w:pPr>
        <w:spacing w:line="480" w:lineRule="auto"/>
        <w:ind w:firstLine="720"/>
      </w:pPr>
      <w:r>
        <w:rPr>
          <w:b/>
          <w:bCs/>
        </w:rPr>
        <w:t>Cambiar el CTA principal.</w:t>
      </w:r>
      <w:r>
        <w:t xml:space="preserve"> El botón principal pasa a ser «Solicitar una demostración» y «Conocer el brazalete» se convierte en la acción secundaria. Se añade un botón compacto de contacto en la barra superior, visible durante todo el desplazamiento.</w:t>
      </w:r>
    </w:p>
    <w:p w14:paraId="24DE6B5E" w14:textId="77777777" w:rsidR="002F7ED7" w:rsidRDefault="00000000">
      <w:pPr>
        <w:spacing w:line="480" w:lineRule="auto"/>
        <w:ind w:firstLine="720"/>
      </w:pPr>
      <w:r>
        <w:rPr>
          <w:b/>
          <w:bCs/>
        </w:rPr>
        <w:t>Agregar un formulario corto</w:t>
      </w:r>
      <w:r>
        <w:t xml:space="preserve"> al final de la portada y de la página del brazalete, con cuatro campos: nombre, correo, perfil (persona usuaria o familiar, docente o jurado, entidad de </w:t>
      </w:r>
      <w:r>
        <w:lastRenderedPageBreak/>
        <w:t>movilidad, otro) y mensaje. El campo de perfil permite medir qué público convierte y responder a cada uno de forma diferenciada.</w:t>
      </w:r>
    </w:p>
    <w:p w14:paraId="03C9BFEE" w14:textId="77777777" w:rsidR="002F7ED7" w:rsidRDefault="00000000">
      <w:pPr>
        <w:spacing w:line="480" w:lineRule="auto"/>
        <w:ind w:firstLine="720"/>
      </w:pPr>
      <w:r>
        <w:rPr>
          <w:b/>
          <w:bCs/>
        </w:rPr>
        <w:t>Incorporar señales de confianza</w:t>
      </w:r>
      <w:r>
        <w:t xml:space="preserve"> junto al formulario: un video corto del prototipo en funcionamiento, el estado actual del desarrollo, el equipo responsable y el respaldo institucional de la ETITC.</w:t>
      </w:r>
    </w:p>
    <w:p w14:paraId="6DD4CB93" w14:textId="77777777" w:rsidR="002F7ED7" w:rsidRDefault="00000000">
      <w:pPr>
        <w:keepNext/>
        <w:spacing w:line="480" w:lineRule="auto"/>
        <w:jc w:val="center"/>
      </w:pPr>
      <w:r>
        <w:rPr>
          <w:b/>
          <w:bCs/>
        </w:rPr>
        <w:t>Parte 5. Presentación «Antes y Después»</w:t>
      </w:r>
    </w:p>
    <w:p w14:paraId="1792B67F" w14:textId="77777777" w:rsidR="002F7ED7" w:rsidRDefault="00000000">
      <w:pPr>
        <w:keepNext/>
        <w:spacing w:line="480" w:lineRule="auto"/>
      </w:pPr>
      <w:r>
        <w:rPr>
          <w:b/>
          <w:bCs/>
        </w:rPr>
        <w:t>Versión Original</w:t>
      </w:r>
    </w:p>
    <w:p w14:paraId="726FF5C8" w14:textId="77777777" w:rsidR="002F7ED7" w:rsidRDefault="00000000">
      <w:pPr>
        <w:spacing w:line="480" w:lineRule="auto"/>
        <w:ind w:firstLine="720"/>
      </w:pPr>
      <w:r>
        <w:rPr>
          <w:b/>
          <w:bCs/>
        </w:rPr>
        <w:t>Decisiones tomadas.</w:t>
      </w:r>
      <w:r>
        <w:t xml:space="preserve"> La primera versión se construyó con fidelidad a los bocetos: barra superior con cuatro secciones, fotografía del brazalete junto al titular, tres tarjetas con los componentes del sistema y el pie «@ACPI ~ ETITC ~ Edy S. Ávila». La estética del papel cuadriculado, la paleta del semáforo y los estándares de accesibilidad se definieron desde el inicio. Las secciones sin boceto se publicaron como páginas provisionales con un resumen tomado de la guía del sistema, para que ningún enlace llevara a un error.</w:t>
      </w:r>
    </w:p>
    <w:p w14:paraId="4C34FD14" w14:textId="77777777" w:rsidR="002F7ED7" w:rsidRDefault="00000000">
      <w:pPr>
        <w:spacing w:line="480" w:lineRule="auto"/>
        <w:ind w:firstLine="720"/>
      </w:pPr>
      <w:r>
        <w:rPr>
          <w:b/>
          <w:bCs/>
        </w:rPr>
        <w:t>Objetivo.</w:t>
      </w:r>
      <w:r>
        <w:t xml:space="preserve"> Presentar el proyecto y el brazalete ACPI V3.0 de forma clara y accesible, con énfasis en explicar el problema del cruce peatonal y la respuesta tecnológica, principalmente para el contexto de exposición académica.</w:t>
      </w:r>
    </w:p>
    <w:p w14:paraId="27DDD92F" w14:textId="77777777" w:rsidR="002F7ED7" w:rsidRDefault="00000000">
      <w:pPr>
        <w:keepNext/>
        <w:spacing w:line="480" w:lineRule="auto"/>
      </w:pPr>
      <w:r>
        <w:rPr>
          <w:b/>
          <w:bCs/>
        </w:rPr>
        <w:t>Versión Mejorada</w:t>
      </w:r>
    </w:p>
    <w:p w14:paraId="04E1AFA7" w14:textId="77777777" w:rsidR="002F7ED7" w:rsidRDefault="00000000">
      <w:pPr>
        <w:spacing w:line="480" w:lineRule="auto"/>
        <w:ind w:firstLine="720"/>
      </w:pPr>
      <w:r>
        <w:t>La Tabla 2 resume qué cambia, por qué cambia y qué problema soluciona cada modificación de la propuesta de rediseño.</w:t>
      </w:r>
    </w:p>
    <w:p w14:paraId="611C4965" w14:textId="77777777" w:rsidR="002F7ED7" w:rsidRDefault="00000000">
      <w:pPr>
        <w:keepNext/>
        <w:spacing w:line="480" w:lineRule="auto"/>
      </w:pPr>
      <w:r>
        <w:rPr>
          <w:b/>
          <w:bCs/>
        </w:rPr>
        <w:lastRenderedPageBreak/>
        <w:t>Tabla 2</w:t>
      </w:r>
    </w:p>
    <w:p w14:paraId="15389C95" w14:textId="77777777" w:rsidR="002F7ED7" w:rsidRDefault="00000000">
      <w:pPr>
        <w:keepNext/>
        <w:spacing w:line="480" w:lineRule="auto"/>
      </w:pPr>
      <w:r>
        <w:rPr>
          <w:i/>
          <w:iCs/>
        </w:rPr>
        <w:t>Comparación entre la versión original y la versión mejorada del sitio ACPI</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2500"/>
        <w:gridCol w:w="2430"/>
        <w:gridCol w:w="2430"/>
      </w:tblGrid>
      <w:tr w:rsidR="002F7ED7" w14:paraId="2C701923" w14:textId="77777777">
        <w:tblPrEx>
          <w:tblCellMar>
            <w:top w:w="0" w:type="dxa"/>
            <w:bottom w:w="0" w:type="dxa"/>
          </w:tblCellMar>
        </w:tblPrEx>
        <w:trPr>
          <w:tblHeader/>
        </w:trPr>
        <w:tc>
          <w:tcPr>
            <w:tcW w:w="2000" w:type="dxa"/>
            <w:tcBorders>
              <w:top w:val="single" w:sz="8" w:space="0" w:color="000000"/>
              <w:left w:val="none" w:sz="0" w:space="0" w:color="FFFFFF"/>
              <w:bottom w:val="single" w:sz="8" w:space="0" w:color="000000"/>
              <w:right w:val="none" w:sz="0" w:space="0" w:color="FFFFFF"/>
            </w:tcBorders>
            <w:tcMar>
              <w:top w:w="60" w:type="dxa"/>
              <w:left w:w="100" w:type="dxa"/>
              <w:bottom w:w="60" w:type="dxa"/>
              <w:right w:w="100" w:type="dxa"/>
            </w:tcMar>
          </w:tcPr>
          <w:p w14:paraId="37DBC164" w14:textId="77777777" w:rsidR="002F7ED7" w:rsidRDefault="00000000">
            <w:r>
              <w:rPr>
                <w:b/>
                <w:bCs/>
              </w:rPr>
              <w:t>Elemento</w:t>
            </w:r>
          </w:p>
        </w:tc>
        <w:tc>
          <w:tcPr>
            <w:tcW w:w="2500" w:type="dxa"/>
            <w:tcBorders>
              <w:top w:val="single" w:sz="8" w:space="0" w:color="000000"/>
              <w:left w:val="none" w:sz="0" w:space="0" w:color="FFFFFF"/>
              <w:bottom w:val="single" w:sz="8" w:space="0" w:color="000000"/>
              <w:right w:val="none" w:sz="0" w:space="0" w:color="FFFFFF"/>
            </w:tcBorders>
            <w:tcMar>
              <w:top w:w="60" w:type="dxa"/>
              <w:left w:w="100" w:type="dxa"/>
              <w:bottom w:w="60" w:type="dxa"/>
              <w:right w:w="100" w:type="dxa"/>
            </w:tcMar>
          </w:tcPr>
          <w:p w14:paraId="0496FB30" w14:textId="77777777" w:rsidR="002F7ED7" w:rsidRDefault="00000000">
            <w:r>
              <w:rPr>
                <w:b/>
                <w:bCs/>
              </w:rPr>
              <w:t>Qué cambió</w:t>
            </w:r>
          </w:p>
        </w:tc>
        <w:tc>
          <w:tcPr>
            <w:tcW w:w="2430" w:type="dxa"/>
            <w:tcBorders>
              <w:top w:val="single" w:sz="8" w:space="0" w:color="000000"/>
              <w:left w:val="none" w:sz="0" w:space="0" w:color="FFFFFF"/>
              <w:bottom w:val="single" w:sz="8" w:space="0" w:color="000000"/>
              <w:right w:val="none" w:sz="0" w:space="0" w:color="FFFFFF"/>
            </w:tcBorders>
            <w:tcMar>
              <w:top w:w="60" w:type="dxa"/>
              <w:left w:w="100" w:type="dxa"/>
              <w:bottom w:w="60" w:type="dxa"/>
              <w:right w:w="100" w:type="dxa"/>
            </w:tcMar>
          </w:tcPr>
          <w:p w14:paraId="2F2F1C75" w14:textId="77777777" w:rsidR="002F7ED7" w:rsidRDefault="00000000">
            <w:r>
              <w:rPr>
                <w:b/>
                <w:bCs/>
              </w:rPr>
              <w:t>Por qué</w:t>
            </w:r>
          </w:p>
        </w:tc>
        <w:tc>
          <w:tcPr>
            <w:tcW w:w="2430" w:type="dxa"/>
            <w:tcBorders>
              <w:top w:val="single" w:sz="8" w:space="0" w:color="000000"/>
              <w:left w:val="none" w:sz="0" w:space="0" w:color="FFFFFF"/>
              <w:bottom w:val="single" w:sz="8" w:space="0" w:color="000000"/>
              <w:right w:val="none" w:sz="0" w:space="0" w:color="FFFFFF"/>
            </w:tcBorders>
            <w:tcMar>
              <w:top w:w="60" w:type="dxa"/>
              <w:left w:w="100" w:type="dxa"/>
              <w:bottom w:w="60" w:type="dxa"/>
              <w:right w:w="100" w:type="dxa"/>
            </w:tcMar>
          </w:tcPr>
          <w:p w14:paraId="3D637AF0" w14:textId="77777777" w:rsidR="002F7ED7" w:rsidRDefault="00000000">
            <w:r>
              <w:rPr>
                <w:b/>
                <w:bCs/>
              </w:rPr>
              <w:t>Problema que soluciona</w:t>
            </w:r>
          </w:p>
        </w:tc>
      </w:tr>
      <w:tr w:rsidR="002F7ED7" w14:paraId="1BED06D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812649" w14:textId="77777777" w:rsidR="002F7ED7" w:rsidRDefault="00000000">
            <w:r>
              <w:t>Primer pantallazo</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A69ECD" w14:textId="77777777" w:rsidR="002F7ED7" w:rsidRDefault="00000000">
            <w:r>
              <w:t>Subtítulo que nombra al usuario; descripción antes de los botones; sigla expandida.</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2707F9" w14:textId="77777777" w:rsidR="002F7ED7" w:rsidRDefault="00000000">
            <w:r>
              <w:t>El visitante decide en segundos si la página es relevante.</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69ABB5" w14:textId="77777777" w:rsidR="002F7ED7" w:rsidRDefault="00000000">
            <w:r>
              <w:t>Objetivo y usuario no identificables en menos de 5 segundos.</w:t>
            </w:r>
          </w:p>
        </w:tc>
      </w:tr>
      <w:tr w:rsidR="002F7ED7" w14:paraId="1E8F690D"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2C0F8A" w14:textId="77777777" w:rsidR="002F7ED7" w:rsidRDefault="00000000">
            <w:r>
              <w:t>Explicación del sistema</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5D0C22" w14:textId="77777777" w:rsidR="002F7ED7" w:rsidRDefault="00000000">
            <w:r>
              <w:t>Bloque «¿Cómo funciona?» en tres pasos ilustrados.</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A73683" w14:textId="77777777" w:rsidR="002F7ED7" w:rsidRDefault="00000000">
            <w:r>
              <w:t>Un recorrido visual se entiende más rápido que varios párrafos.</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E32857" w14:textId="77777777" w:rsidR="002F7ED7" w:rsidRDefault="00000000">
            <w:r>
              <w:t>Exceso de texto para entender el mecanismo.</w:t>
            </w:r>
          </w:p>
        </w:tc>
      </w:tr>
      <w:tr w:rsidR="002F7ED7" w14:paraId="5604326D"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BDCA39" w14:textId="77777777" w:rsidR="002F7ED7" w:rsidRDefault="00000000">
            <w:r>
              <w:t>Menú</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03D6E1" w14:textId="77777777" w:rsidR="002F7ED7" w:rsidRDefault="00000000">
            <w:r>
              <w:t>Secciones provisionales agrupadas o marcadas como «Pronto»; nuevo enlace «Contacto».</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575E69" w14:textId="77777777" w:rsidR="002F7ED7" w:rsidRDefault="00000000">
            <w:r>
              <w:t>El menú debe anticipar con honestidad lo que hay detrás de cada enlace.</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CDD8D5" w14:textId="77777777" w:rsidR="002F7ED7" w:rsidRDefault="00000000">
            <w:r>
              <w:t>Clics que terminan en páginas vacías y frustran la exploración.</w:t>
            </w:r>
          </w:p>
        </w:tc>
      </w:tr>
      <w:tr w:rsidR="002F7ED7" w14:paraId="250E8937"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0F71A3" w14:textId="77777777" w:rsidR="002F7ED7" w:rsidRDefault="00000000">
            <w:r>
              <w:t>Color</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876596" w14:textId="77777777" w:rsidR="002F7ED7" w:rsidRDefault="00000000">
            <w:r>
              <w:t>Gris auxiliar #686C75 y ámbar de texto #8A5A12.</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511093" w14:textId="77777777" w:rsidR="002F7ED7" w:rsidRDefault="00000000">
            <w:r>
              <w:t>Cumplir el contraste mínimo de 4.5:1 de las WCAG 2.2.</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F58C27" w14:textId="77777777" w:rsidR="002F7ED7" w:rsidRDefault="00000000">
            <w:r>
              <w:t>Textos secundarios difíciles de leer para personas con baja visión.</w:t>
            </w:r>
          </w:p>
        </w:tc>
      </w:tr>
      <w:tr w:rsidR="002F7ED7" w14:paraId="49EA2AD8"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B2BCAD" w14:textId="77777777" w:rsidR="002F7ED7" w:rsidRDefault="00000000">
            <w:r>
              <w:t>Tipografía</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FD0D72" w14:textId="77777777" w:rsidR="002F7ED7" w:rsidRDefault="00000000">
            <w:r>
              <w:t xml:space="preserve">Atkinson </w:t>
            </w:r>
            <w:proofErr w:type="spellStart"/>
            <w:r>
              <w:t>Hyperlegible</w:t>
            </w:r>
            <w:proofErr w:type="spellEnd"/>
            <w:r>
              <w:t xml:space="preserve"> en titulares y cuerpo.</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F984AA" w14:textId="77777777" w:rsidR="002F7ED7" w:rsidRDefault="00000000">
            <w:r>
              <w:t>Fuente diseñada para la legibilidad con baja visión, alineada con la misión.</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6334B8" w14:textId="77777777" w:rsidR="002F7ED7" w:rsidRDefault="00000000">
            <w:r>
              <w:t>Tipografía genérica sin identidad propia.</w:t>
            </w:r>
          </w:p>
        </w:tc>
      </w:tr>
      <w:tr w:rsidR="002F7ED7" w14:paraId="52C40F22"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7A7C8E" w14:textId="77777777" w:rsidR="002F7ED7" w:rsidRDefault="00000000">
            <w:r>
              <w:t>CTA principal</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09367D" w14:textId="77777777" w:rsidR="002F7ED7" w:rsidRDefault="00000000">
            <w:r>
              <w:t>«Solicitar una demostración» como acción principal; botón de contacto fijo en la barra.</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7C50A0" w14:textId="77777777" w:rsidR="002F7ED7" w:rsidRDefault="00000000">
            <w:r>
              <w:t>El sitio necesita un objetivo medible, no solo exploración.</w:t>
            </w:r>
          </w:p>
        </w:tc>
        <w:tc>
          <w:tcPr>
            <w:tcW w:w="24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2DBD4E" w14:textId="77777777" w:rsidR="002F7ED7" w:rsidRDefault="00000000">
            <w:r>
              <w:t>Recorrido sin acción final ni forma de contactar al equipo.</w:t>
            </w:r>
          </w:p>
        </w:tc>
      </w:tr>
      <w:tr w:rsidR="002F7ED7" w14:paraId="38A29AB1"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685753A" w14:textId="77777777" w:rsidR="002F7ED7" w:rsidRDefault="00000000">
            <w:r>
              <w:t>Formulario y confianza</w:t>
            </w:r>
          </w:p>
        </w:tc>
        <w:tc>
          <w:tcPr>
            <w:tcW w:w="250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08EF0A44" w14:textId="77777777" w:rsidR="002F7ED7" w:rsidRDefault="00000000">
            <w:r>
              <w:t>Formulario de cuatro campos, video del prototipo, equipo y respaldo institucional.</w:t>
            </w:r>
          </w:p>
        </w:tc>
        <w:tc>
          <w:tcPr>
            <w:tcW w:w="243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55697E29" w14:textId="77777777" w:rsidR="002F7ED7" w:rsidRDefault="00000000">
            <w:r>
              <w:t>La confianza se construye con evidencias y personas visibles.</w:t>
            </w:r>
          </w:p>
        </w:tc>
        <w:tc>
          <w:tcPr>
            <w:tcW w:w="2430" w:type="dxa"/>
            <w:tcBorders>
              <w:top w:val="none" w:sz="0" w:space="0" w:color="FFFFFF"/>
              <w:left w:val="none" w:sz="0" w:space="0" w:color="FFFFFF"/>
              <w:bottom w:val="single" w:sz="8" w:space="0" w:color="000000"/>
              <w:right w:val="none" w:sz="0" w:space="0" w:color="FFFFFF"/>
            </w:tcBorders>
            <w:tcMar>
              <w:top w:w="60" w:type="dxa"/>
              <w:left w:w="100" w:type="dxa"/>
              <w:bottom w:w="60" w:type="dxa"/>
              <w:right w:w="100" w:type="dxa"/>
            </w:tcMar>
          </w:tcPr>
          <w:p w14:paraId="4B19D238" w14:textId="77777777" w:rsidR="002F7ED7" w:rsidRDefault="00000000">
            <w:r>
              <w:t>Baja credibilidad percibida y ausencia de canal de contacto.</w:t>
            </w:r>
          </w:p>
        </w:tc>
      </w:tr>
    </w:tbl>
    <w:p w14:paraId="511544CD" w14:textId="77777777" w:rsidR="002F7ED7" w:rsidRDefault="00000000">
      <w:pPr>
        <w:spacing w:line="480" w:lineRule="auto"/>
      </w:pPr>
      <w:r>
        <w:rPr>
          <w:i/>
          <w:iCs/>
        </w:rPr>
        <w:t>Nota.</w:t>
      </w:r>
      <w:r>
        <w:t xml:space="preserve"> Los valores de contraste se calcularon con la fórmula de luminancia relativa de las WCAG 2.2 sobre el color de fondo del sitio (#F8F8F5).</w:t>
      </w:r>
    </w:p>
    <w:p w14:paraId="37FD57C5" w14:textId="77777777" w:rsidR="002F7ED7" w:rsidRDefault="00000000">
      <w:pPr>
        <w:spacing w:line="480" w:lineRule="auto"/>
        <w:ind w:firstLine="720"/>
      </w:pPr>
      <w:r>
        <w:t xml:space="preserve">En conjunto, la versión mejorada conserva lo que el sitio ya hacía bien —claridad del contenido, estética coherente y accesibilidad técnica— y corrige sus tres debilidades principales: un primer pantallazo que no dice para quién es el producto, una navegación que promete </w:t>
      </w:r>
      <w:r>
        <w:lastRenderedPageBreak/>
        <w:t xml:space="preserve">secciones que aún no existen y un recorrido que </w:t>
      </w:r>
      <w:proofErr w:type="gramStart"/>
      <w:r>
        <w:t>informa</w:t>
      </w:r>
      <w:proofErr w:type="gramEnd"/>
      <w:r>
        <w:t xml:space="preserve"> pero no convierte. El resultado esperado es que el visitante entienda ACPI en segundos, confíe en el proyecto y tenga una manera concreta de involucrarse en él.</w:t>
      </w:r>
    </w:p>
    <w:p w14:paraId="0D1CFE9B" w14:textId="77777777" w:rsidR="002F7ED7" w:rsidRDefault="00000000">
      <w:r>
        <w:br w:type="page"/>
      </w:r>
    </w:p>
    <w:p w14:paraId="2C603236" w14:textId="77777777" w:rsidR="002F7ED7" w:rsidRPr="00FF7565" w:rsidRDefault="00000000">
      <w:pPr>
        <w:keepNext/>
        <w:spacing w:line="480" w:lineRule="auto"/>
        <w:jc w:val="center"/>
        <w:rPr>
          <w:lang w:val="en-US"/>
        </w:rPr>
      </w:pPr>
      <w:proofErr w:type="spellStart"/>
      <w:r w:rsidRPr="00FF7565">
        <w:rPr>
          <w:b/>
          <w:bCs/>
          <w:lang w:val="en-US"/>
        </w:rPr>
        <w:lastRenderedPageBreak/>
        <w:t>Referencias</w:t>
      </w:r>
      <w:proofErr w:type="spellEnd"/>
    </w:p>
    <w:p w14:paraId="01731A69" w14:textId="77777777" w:rsidR="002F7ED7" w:rsidRPr="00FF7565" w:rsidRDefault="00000000">
      <w:pPr>
        <w:spacing w:line="480" w:lineRule="auto"/>
        <w:ind w:left="720" w:hanging="720"/>
        <w:rPr>
          <w:lang w:val="en-US"/>
        </w:rPr>
      </w:pPr>
      <w:r w:rsidRPr="00FF7565">
        <w:rPr>
          <w:lang w:val="en-US"/>
        </w:rPr>
        <w:t xml:space="preserve">Krug, S. (2014). </w:t>
      </w:r>
      <w:r w:rsidRPr="00FF7565">
        <w:rPr>
          <w:i/>
          <w:iCs/>
          <w:lang w:val="en-US"/>
        </w:rPr>
        <w:t xml:space="preserve">Don't make me think, revisited: A </w:t>
      </w:r>
      <w:proofErr w:type="gramStart"/>
      <w:r w:rsidRPr="00FF7565">
        <w:rPr>
          <w:i/>
          <w:iCs/>
          <w:lang w:val="en-US"/>
        </w:rPr>
        <w:t>common sense</w:t>
      </w:r>
      <w:proofErr w:type="gramEnd"/>
      <w:r w:rsidRPr="00FF7565">
        <w:rPr>
          <w:i/>
          <w:iCs/>
          <w:lang w:val="en-US"/>
        </w:rPr>
        <w:t xml:space="preserve"> approach to web usability</w:t>
      </w:r>
      <w:r w:rsidRPr="00FF7565">
        <w:rPr>
          <w:lang w:val="en-US"/>
        </w:rPr>
        <w:t xml:space="preserve"> (3.ª ed.). New Riders.</w:t>
      </w:r>
    </w:p>
    <w:p w14:paraId="37C8EAFD" w14:textId="77777777" w:rsidR="002F7ED7" w:rsidRPr="00FF7565" w:rsidRDefault="00000000">
      <w:pPr>
        <w:spacing w:line="480" w:lineRule="auto"/>
        <w:ind w:left="720" w:hanging="720"/>
        <w:rPr>
          <w:lang w:val="en-US"/>
        </w:rPr>
      </w:pPr>
      <w:r w:rsidRPr="00FF7565">
        <w:rPr>
          <w:lang w:val="en-US"/>
        </w:rPr>
        <w:t xml:space="preserve">Nielsen, J. (2024, 30 de </w:t>
      </w:r>
      <w:proofErr w:type="spellStart"/>
      <w:r w:rsidRPr="00FF7565">
        <w:rPr>
          <w:lang w:val="en-US"/>
        </w:rPr>
        <w:t>enero</w:t>
      </w:r>
      <w:proofErr w:type="spellEnd"/>
      <w:r w:rsidRPr="00FF7565">
        <w:rPr>
          <w:lang w:val="en-US"/>
        </w:rPr>
        <w:t xml:space="preserve">). </w:t>
      </w:r>
      <w:r w:rsidRPr="00FF7565">
        <w:rPr>
          <w:i/>
          <w:iCs/>
          <w:lang w:val="en-US"/>
        </w:rPr>
        <w:t>10 usability heuristics for user interface design</w:t>
      </w:r>
      <w:r w:rsidRPr="00FF7565">
        <w:rPr>
          <w:lang w:val="en-US"/>
        </w:rPr>
        <w:t>. Nielsen Norman Group. https://www.nngroup.com/articles/ten-usability-heuristics/</w:t>
      </w:r>
    </w:p>
    <w:p w14:paraId="31EBB245" w14:textId="77777777" w:rsidR="002F7ED7" w:rsidRPr="00FF7565" w:rsidRDefault="00000000">
      <w:pPr>
        <w:spacing w:line="480" w:lineRule="auto"/>
        <w:ind w:left="720" w:hanging="720"/>
        <w:rPr>
          <w:lang w:val="en-US"/>
        </w:rPr>
      </w:pPr>
      <w:r w:rsidRPr="00FF7565">
        <w:rPr>
          <w:lang w:val="en-US"/>
        </w:rPr>
        <w:t xml:space="preserve">World Wide Web Consortium. (2023). </w:t>
      </w:r>
      <w:r w:rsidRPr="00FF7565">
        <w:rPr>
          <w:i/>
          <w:iCs/>
          <w:lang w:val="en-US"/>
        </w:rPr>
        <w:t>Web Content Accessibility Guidelines (WCAG) 2.2</w:t>
      </w:r>
      <w:r w:rsidRPr="00FF7565">
        <w:rPr>
          <w:lang w:val="en-US"/>
        </w:rPr>
        <w:t>. https://www.w3.org/TR/WCAG22/</w:t>
      </w:r>
    </w:p>
    <w:sectPr w:rsidR="002F7ED7" w:rsidRPr="00FF7565">
      <w:headerReference w:type="default" r:id="rId7"/>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FBD47" w14:textId="77777777" w:rsidR="00337A15" w:rsidRDefault="00337A15">
      <w:r>
        <w:separator/>
      </w:r>
    </w:p>
  </w:endnote>
  <w:endnote w:type="continuationSeparator" w:id="0">
    <w:p w14:paraId="18B0525A" w14:textId="77777777" w:rsidR="00337A15" w:rsidRDefault="00337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5B3E7" w14:textId="77777777" w:rsidR="00337A15" w:rsidRDefault="00337A15">
      <w:r>
        <w:separator/>
      </w:r>
    </w:p>
  </w:footnote>
  <w:footnote w:type="continuationSeparator" w:id="0">
    <w:p w14:paraId="43CFAF52" w14:textId="77777777" w:rsidR="00337A15" w:rsidRDefault="00337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75BA" w14:textId="77777777" w:rsidR="002F7ED7" w:rsidRDefault="00000000">
    <w:pPr>
      <w:jc w:val="right"/>
    </w:pPr>
    <w:r>
      <w:fldChar w:fldCharType="begin"/>
    </w:r>
    <w:r>
      <w:instrText>PAGE</w:instrText>
    </w:r>
    <w:r>
      <w:fldChar w:fldCharType="separate"/>
    </w:r>
    <w:r w:rsidR="00FF756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53D"/>
    <w:multiLevelType w:val="hybridMultilevel"/>
    <w:tmpl w:val="BA2485C0"/>
    <w:lvl w:ilvl="0" w:tplc="857EB408">
      <w:start w:val="1"/>
      <w:numFmt w:val="decimal"/>
      <w:lvlText w:val="%1."/>
      <w:lvlJc w:val="left"/>
      <w:pPr>
        <w:ind w:left="720" w:hanging="360"/>
      </w:pPr>
    </w:lvl>
    <w:lvl w:ilvl="1" w:tplc="33209B30">
      <w:numFmt w:val="decimal"/>
      <w:lvlText w:val=""/>
      <w:lvlJc w:val="left"/>
    </w:lvl>
    <w:lvl w:ilvl="2" w:tplc="1D2A32D0">
      <w:numFmt w:val="decimal"/>
      <w:lvlText w:val=""/>
      <w:lvlJc w:val="left"/>
    </w:lvl>
    <w:lvl w:ilvl="3" w:tplc="AA9A691C">
      <w:numFmt w:val="decimal"/>
      <w:lvlText w:val=""/>
      <w:lvlJc w:val="left"/>
    </w:lvl>
    <w:lvl w:ilvl="4" w:tplc="C330B8CC">
      <w:numFmt w:val="decimal"/>
      <w:lvlText w:val=""/>
      <w:lvlJc w:val="left"/>
    </w:lvl>
    <w:lvl w:ilvl="5" w:tplc="1E5299B0">
      <w:numFmt w:val="decimal"/>
      <w:lvlText w:val=""/>
      <w:lvlJc w:val="left"/>
    </w:lvl>
    <w:lvl w:ilvl="6" w:tplc="7C10034C">
      <w:numFmt w:val="decimal"/>
      <w:lvlText w:val=""/>
      <w:lvlJc w:val="left"/>
    </w:lvl>
    <w:lvl w:ilvl="7" w:tplc="E1668CBA">
      <w:numFmt w:val="decimal"/>
      <w:lvlText w:val=""/>
      <w:lvlJc w:val="left"/>
    </w:lvl>
    <w:lvl w:ilvl="8" w:tplc="66789366">
      <w:numFmt w:val="decimal"/>
      <w:lvlText w:val=""/>
      <w:lvlJc w:val="left"/>
    </w:lvl>
  </w:abstractNum>
  <w:abstractNum w:abstractNumId="1" w15:restartNumberingAfterBreak="0">
    <w:nsid w:val="5B213B90"/>
    <w:multiLevelType w:val="hybridMultilevel"/>
    <w:tmpl w:val="727A3E74"/>
    <w:lvl w:ilvl="0" w:tplc="677C60B4">
      <w:start w:val="1"/>
      <w:numFmt w:val="decimal"/>
      <w:lvlText w:val="%1."/>
      <w:lvlJc w:val="left"/>
      <w:pPr>
        <w:ind w:left="720" w:hanging="360"/>
      </w:pPr>
    </w:lvl>
    <w:lvl w:ilvl="1" w:tplc="75188F8C">
      <w:numFmt w:val="decimal"/>
      <w:lvlText w:val=""/>
      <w:lvlJc w:val="left"/>
    </w:lvl>
    <w:lvl w:ilvl="2" w:tplc="82B618FE">
      <w:numFmt w:val="decimal"/>
      <w:lvlText w:val=""/>
      <w:lvlJc w:val="left"/>
    </w:lvl>
    <w:lvl w:ilvl="3" w:tplc="430217FA">
      <w:numFmt w:val="decimal"/>
      <w:lvlText w:val=""/>
      <w:lvlJc w:val="left"/>
    </w:lvl>
    <w:lvl w:ilvl="4" w:tplc="2C0C3890">
      <w:numFmt w:val="decimal"/>
      <w:lvlText w:val=""/>
      <w:lvlJc w:val="left"/>
    </w:lvl>
    <w:lvl w:ilvl="5" w:tplc="7CD0D562">
      <w:numFmt w:val="decimal"/>
      <w:lvlText w:val=""/>
      <w:lvlJc w:val="left"/>
    </w:lvl>
    <w:lvl w:ilvl="6" w:tplc="B314B7F4">
      <w:numFmt w:val="decimal"/>
      <w:lvlText w:val=""/>
      <w:lvlJc w:val="left"/>
    </w:lvl>
    <w:lvl w:ilvl="7" w:tplc="9DD81242">
      <w:numFmt w:val="decimal"/>
      <w:lvlText w:val=""/>
      <w:lvlJc w:val="left"/>
    </w:lvl>
    <w:lvl w:ilvl="8" w:tplc="BF3E1FE6">
      <w:numFmt w:val="decimal"/>
      <w:lvlText w:val=""/>
      <w:lvlJc w:val="left"/>
    </w:lvl>
  </w:abstractNum>
  <w:abstractNum w:abstractNumId="2" w15:restartNumberingAfterBreak="0">
    <w:nsid w:val="6D540468"/>
    <w:multiLevelType w:val="hybridMultilevel"/>
    <w:tmpl w:val="DB68A526"/>
    <w:lvl w:ilvl="0" w:tplc="0EC6088A">
      <w:start w:val="1"/>
      <w:numFmt w:val="bullet"/>
      <w:lvlText w:val="●"/>
      <w:lvlJc w:val="left"/>
      <w:pPr>
        <w:ind w:left="720" w:hanging="360"/>
      </w:pPr>
    </w:lvl>
    <w:lvl w:ilvl="1" w:tplc="F2E01850">
      <w:start w:val="1"/>
      <w:numFmt w:val="bullet"/>
      <w:lvlText w:val="○"/>
      <w:lvlJc w:val="left"/>
      <w:pPr>
        <w:ind w:left="1440" w:hanging="360"/>
      </w:pPr>
    </w:lvl>
    <w:lvl w:ilvl="2" w:tplc="00644460">
      <w:start w:val="1"/>
      <w:numFmt w:val="bullet"/>
      <w:lvlText w:val="■"/>
      <w:lvlJc w:val="left"/>
      <w:pPr>
        <w:ind w:left="2160" w:hanging="360"/>
      </w:pPr>
    </w:lvl>
    <w:lvl w:ilvl="3" w:tplc="A77CC9CE">
      <w:start w:val="1"/>
      <w:numFmt w:val="bullet"/>
      <w:lvlText w:val="●"/>
      <w:lvlJc w:val="left"/>
      <w:pPr>
        <w:ind w:left="2880" w:hanging="360"/>
      </w:pPr>
    </w:lvl>
    <w:lvl w:ilvl="4" w:tplc="83E8E94E">
      <w:start w:val="1"/>
      <w:numFmt w:val="bullet"/>
      <w:lvlText w:val="○"/>
      <w:lvlJc w:val="left"/>
      <w:pPr>
        <w:ind w:left="3600" w:hanging="360"/>
      </w:pPr>
    </w:lvl>
    <w:lvl w:ilvl="5" w:tplc="EA22D72E">
      <w:start w:val="1"/>
      <w:numFmt w:val="bullet"/>
      <w:lvlText w:val="■"/>
      <w:lvlJc w:val="left"/>
      <w:pPr>
        <w:ind w:left="4320" w:hanging="360"/>
      </w:pPr>
    </w:lvl>
    <w:lvl w:ilvl="6" w:tplc="AC304FC8">
      <w:start w:val="1"/>
      <w:numFmt w:val="bullet"/>
      <w:lvlText w:val="●"/>
      <w:lvlJc w:val="left"/>
      <w:pPr>
        <w:ind w:left="5040" w:hanging="360"/>
      </w:pPr>
    </w:lvl>
    <w:lvl w:ilvl="7" w:tplc="1368B914">
      <w:start w:val="1"/>
      <w:numFmt w:val="bullet"/>
      <w:lvlText w:val="●"/>
      <w:lvlJc w:val="left"/>
      <w:pPr>
        <w:ind w:left="5760" w:hanging="360"/>
      </w:pPr>
    </w:lvl>
    <w:lvl w:ilvl="8" w:tplc="E8CEADD0">
      <w:start w:val="1"/>
      <w:numFmt w:val="bullet"/>
      <w:lvlText w:val="●"/>
      <w:lvlJc w:val="left"/>
      <w:pPr>
        <w:ind w:left="6480" w:hanging="360"/>
      </w:pPr>
    </w:lvl>
  </w:abstractNum>
  <w:num w:numId="1" w16cid:durableId="1376387478">
    <w:abstractNumId w:val="2"/>
    <w:lvlOverride w:ilvl="0">
      <w:startOverride w:val="1"/>
    </w:lvlOverride>
  </w:num>
  <w:num w:numId="2" w16cid:durableId="1545678020">
    <w:abstractNumId w:val="1"/>
    <w:lvlOverride w:ilvl="0">
      <w:startOverride w:val="1"/>
    </w:lvlOverride>
  </w:num>
  <w:num w:numId="3" w16cid:durableId="1061249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D7"/>
    <w:rsid w:val="002F7ED7"/>
    <w:rsid w:val="00337A15"/>
    <w:rsid w:val="005C0458"/>
    <w:rsid w:val="00FF75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9DE2B"/>
  <w15:docId w15:val="{273C3484-651B-4064-A298-C6E12D07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2454</Words>
  <Characters>13503</Characters>
  <Application>Microsoft Office Word</Application>
  <DocSecurity>0</DocSecurity>
  <Lines>112</Lines>
  <Paragraphs>31</Paragraphs>
  <ScaleCrop>false</ScaleCrop>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y rediseño del sitio web ACPI</dc:title>
  <dc:creator>Edy S. Ávila</dc:creator>
  <cp:lastModifiedBy>Edy Santiago Avila</cp:lastModifiedBy>
  <cp:revision>2</cp:revision>
  <dcterms:created xsi:type="dcterms:W3CDTF">2026-09-22T23:32:00Z</dcterms:created>
  <dcterms:modified xsi:type="dcterms:W3CDTF">2026-09-23T00:00:00Z</dcterms:modified>
</cp:coreProperties>
</file>