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Consumer Settlements Catalog — June 2026</w:t>
      </w:r>
    </w:p>
    <w:p>
      <w:r>
        <w:t>Wave-1 catalog of consumer class action settlements relevant to the credit.com / Lexington Law population, for the credit.com recovery report. Organized by friction: 'frictionless' = already settled, class member gets paid with no/minimal action; 'claim_filing' = a claim must be submitted (workflow we run); 'mass_arb' = rolling individual-arbitration sign-up; 'structural' = recurring defendants where new claims can be originated.</w:t>
      </w:r>
    </w:p>
    <w:p>
      <w:r>
        <w:rPr>
          <w:b/>
        </w:rPr>
        <w:t xml:space="preserve">Tier 1: </w:t>
      </w:r>
      <w:r>
        <w:t xml:space="preserve">field-provable: our data fields directly satisfy the class-definition elements (creditor + account type + date window)  </w:t>
      </w:r>
    </w:p>
    <w:p>
      <w:r>
        <w:rPr>
          <w:b/>
        </w:rPr>
        <w:t xml:space="preserve">Tier 2: </w:t>
      </w:r>
      <w:r>
        <w:t>proxy + attestation: data establishes the plausible pool (relationship with defendant in period); the gating fact (received call/text/notice, event) must be attested by the claimant or confirmed by the administrator</w:t>
      </w:r>
    </w:p>
    <w:p>
      <w:r>
        <w:t>Built 2026-06-10. wave 1 — sweep of Top Class Actions, ClassAction.org, openclassactions, settlement sites + administrator pages, 2026-06-10. Deeper per-settlement verification and cr_db sizing queries pending.</w:t>
      </w:r>
    </w:p>
    <w:p>
      <w:pPr>
        <w:pStyle w:val="Heading1"/>
      </w:pPr>
      <w:r>
        <w:t>Bucket A — Already Settled, Frictionless Payment</w:t>
      </w:r>
    </w:p>
    <w:p>
      <w:pPr>
        <w:pStyle w:val="Heading2"/>
      </w:pPr>
      <w:r>
        <w:t>Capital One, N.A.</w:t>
      </w:r>
    </w:p>
    <w:p>
      <w:pPr>
        <w:spacing w:after="40"/>
      </w:pPr>
      <w:r>
        <w:rPr>
          <w:b/>
        </w:rPr>
        <w:t xml:space="preserve">Settlement: </w:t>
      </w:r>
      <w:r>
        <w:t>In re Capital One 360 Savings Account Interest Rate Litigation</w:t>
      </w:r>
    </w:p>
    <w:p>
      <w:pPr>
        <w:spacing w:after="40"/>
      </w:pPr>
      <w:r>
        <w:rPr>
          <w:b/>
        </w:rPr>
        <w:t xml:space="preserve">Fund: </w:t>
      </w:r>
      <w:r>
        <w:t>$425,000,000</w:t>
      </w:r>
    </w:p>
    <w:p>
      <w:pPr>
        <w:spacing w:after="40"/>
      </w:pPr>
      <w:r>
        <w:rPr>
          <w:b/>
        </w:rPr>
        <w:t xml:space="preserve">Status: </w:t>
      </w:r>
      <w:r>
        <w:t>Final approval; automatic payments ~2026-07-21 by check/electronic</w:t>
      </w:r>
    </w:p>
    <w:p>
      <w:pPr>
        <w:spacing w:after="40"/>
      </w:pPr>
      <w:r>
        <w:rPr>
          <w:b/>
        </w:rPr>
        <w:t xml:space="preserve">Per claimant: </w:t>
      </w:r>
      <w:r>
        <w:t>Pro rata on lost interest; no claim form needed</w:t>
      </w:r>
    </w:p>
    <w:p>
      <w:pPr>
        <w:spacing w:after="40"/>
      </w:pPr>
      <w:r>
        <w:rPr>
          <w:b/>
        </w:rPr>
        <w:t xml:space="preserve">Class definition: </w:t>
      </w:r>
      <w:r>
        <w:t>Holders of Capital One 360 Savings accounts during the period Capital One offered the higher-rate 360 Performance Savings without converting/notifying existing 360 Savings customers (approx. Sept 2019 onward)</w:t>
      </w:r>
    </w:p>
    <w:p>
      <w:pPr>
        <w:spacing w:after="40"/>
      </w:pPr>
      <w:r>
        <w:rPr>
          <w:b/>
        </w:rPr>
        <w:t xml:space="preserve">Action needed: </w:t>
      </w:r>
      <w:r>
        <w:t>None if address/payment info current; monitor for check. Exclusion already closed.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Deposit accounts do not appear on credit reports. Proxy = any Capital One relationship in file + outreach asking about 360 Savings. Cohort ceiling (any Capital One tradeline): 1,712,966.</w:t>
      </w:r>
    </w:p>
    <w:p>
      <w:pPr>
        <w:spacing w:after="40"/>
      </w:pPr>
      <w:r>
        <w:rPr>
          <w:b/>
        </w:rPr>
        <w:t xml:space="preserve">Sources: </w:t>
      </w:r>
      <w:r>
        <w:t>https://topclassactions.com/lawsuit-settlements/lawsuit-news/capital-one-425m-class-action-settlement-approved-over-savings-account-interest-claims/</w:t>
      </w:r>
    </w:p>
    <w:p>
      <w:pPr>
        <w:pStyle w:val="Heading2"/>
      </w:pPr>
      <w:r>
        <w:t>Bank of America, N.A.</w:t>
      </w:r>
    </w:p>
    <w:p>
      <w:pPr>
        <w:spacing w:after="40"/>
      </w:pPr>
      <w:r>
        <w:rPr>
          <w:b/>
        </w:rPr>
        <w:t xml:space="preserve">Settlement: </w:t>
      </w:r>
      <w:r>
        <w:t>7-Eleven FCTI ATM out-of-network balance-inquiry fees</w:t>
      </w:r>
    </w:p>
    <w:p>
      <w:pPr>
        <w:spacing w:after="40"/>
      </w:pPr>
      <w:r>
        <w:rPr>
          <w:b/>
        </w:rPr>
        <w:t xml:space="preserve">Fund: </w:t>
      </w:r>
      <w:r>
        <w:t>$2,250,000</w:t>
      </w:r>
    </w:p>
    <w:p>
      <w:pPr>
        <w:spacing w:after="40"/>
      </w:pPr>
      <w:r>
        <w:rPr>
          <w:b/>
        </w:rPr>
        <w:t xml:space="preserve">Status: </w:t>
      </w:r>
      <w:r>
        <w:t>OPEN — current accountholders paid automatically; former accountholders must file by 2026-06-29</w:t>
      </w:r>
    </w:p>
    <w:p>
      <w:pPr>
        <w:spacing w:after="40"/>
      </w:pPr>
      <w:r>
        <w:rPr>
          <w:b/>
        </w:rPr>
        <w:t xml:space="preserve">Per claimant: </w:t>
      </w:r>
      <w:r>
        <w:t>Varies (fee refunds)</w:t>
      </w:r>
    </w:p>
    <w:p>
      <w:pPr>
        <w:spacing w:after="40"/>
      </w:pPr>
      <w:r>
        <w:rPr>
          <w:b/>
        </w:rPr>
        <w:t xml:space="preserve">Class definition: </w:t>
      </w:r>
      <w:r>
        <w:t>BofA accountholders charged more than one out-of-network balance inquiry fee in the same visit to an FCTI ATM at a 7-Eleven, 2018-05-01 to 2021-11-16, who did not get paid in Weiss v. FCTI</w:t>
      </w:r>
    </w:p>
    <w:p>
      <w:pPr>
        <w:spacing w:after="40"/>
      </w:pPr>
      <w:r>
        <w:rPr>
          <w:b/>
        </w:rPr>
        <w:t xml:space="preserve">Action needed: </w:t>
      </w:r>
      <w:r>
        <w:t>None for current accountholders; claim form for former ones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BofA relationship provable (cohort 333,611); the ATM event is not in credit data — attestation. Split current vs former accountholder matters.</w:t>
      </w:r>
    </w:p>
    <w:p>
      <w:pPr>
        <w:spacing w:after="40"/>
      </w:pPr>
      <w:r>
        <w:rPr>
          <w:b/>
        </w:rPr>
        <w:t xml:space="preserve">Sources: </w:t>
      </w:r>
      <w:r>
        <w:t>https://topclassactions.com/lawsuit-settlements/open-lawsuit-settlements/2-25m-bank-of-america-7-eleven-atm-fees-class-action-settlement/</w:t>
      </w:r>
    </w:p>
    <w:p>
      <w:pPr>
        <w:pStyle w:val="Heading2"/>
      </w:pPr>
      <w:r>
        <w:t>Navient Solutions / Navient Corp.</w:t>
      </w:r>
    </w:p>
    <w:p>
      <w:pPr>
        <w:spacing w:after="40"/>
      </w:pPr>
      <w:r>
        <w:rPr>
          <w:b/>
        </w:rPr>
        <w:t xml:space="preserve">Settlement: </w:t>
      </w:r>
      <w:r>
        <w:t>CFPB v. Navient — $120M consumer redress</w:t>
      </w:r>
    </w:p>
    <w:p>
      <w:pPr>
        <w:spacing w:after="40"/>
      </w:pPr>
      <w:r>
        <w:rPr>
          <w:b/>
        </w:rPr>
        <w:t xml:space="preserve">Fund: </w:t>
      </w:r>
      <w:r>
        <w:t>$120,000,000</w:t>
      </w:r>
    </w:p>
    <w:p>
      <w:pPr>
        <w:spacing w:after="40"/>
      </w:pPr>
      <w:r>
        <w:rPr>
          <w:b/>
        </w:rPr>
        <w:t xml:space="preserve">Status: </w:t>
      </w:r>
      <w:r>
        <w:t>PAYING — administrator began mailing checks 2026-02-13; automatic, no claim</w:t>
      </w:r>
    </w:p>
    <w:p>
      <w:pPr>
        <w:spacing w:after="40"/>
      </w:pPr>
      <w:r>
        <w:rPr>
          <w:b/>
        </w:rPr>
        <w:t xml:space="preserve">Per claimant: </w:t>
      </w:r>
      <w:r>
        <w:t>Varies; CFPB-determined</w:t>
      </w:r>
    </w:p>
    <w:p>
      <w:pPr>
        <w:spacing w:after="40"/>
      </w:pPr>
      <w:r>
        <w:rPr>
          <w:b/>
        </w:rPr>
        <w:t xml:space="preserve">Class definition: </w:t>
      </w:r>
      <w:r>
        <w:t>Federal student loan borrowers harmed by Navient servicing failures (forbearance steering etc.) per CFPB order</w:t>
      </w:r>
    </w:p>
    <w:p>
      <w:pPr>
        <w:spacing w:after="40"/>
      </w:pPr>
      <w:r>
        <w:rPr>
          <w:b/>
        </w:rPr>
        <w:t xml:space="preserve">Action needed: </w:t>
      </w:r>
      <w:r>
        <w:t>None; ensure current address with administrator (Epiq)</w:t>
      </w:r>
    </w:p>
    <w:p>
      <w:pPr>
        <w:spacing w:after="40"/>
      </w:pPr>
      <w:r>
        <w:rPr>
          <w:b/>
        </w:rPr>
        <w:t xml:space="preserve">Tier: </w:t>
      </w:r>
      <w:r>
        <w:t>1</w:t>
      </w:r>
    </w:p>
    <w:p>
      <w:pPr>
        <w:spacing w:after="40"/>
      </w:pPr>
      <w:r>
        <w:rPr>
          <w:b/>
        </w:rPr>
        <w:t xml:space="preserve">Data mapping: </w:t>
      </w:r>
      <w:r>
        <w:t>Navient student-loan tradeline directly identifies servicer relationship. Cohort: 451,340.</w:t>
      </w:r>
    </w:p>
    <w:p>
      <w:pPr>
        <w:spacing w:after="40"/>
      </w:pPr>
      <w:r>
        <w:rPr>
          <w:b/>
        </w:rPr>
        <w:t xml:space="preserve">Sources: </w:t>
      </w:r>
      <w:r>
        <w:t>https://www.claimdepot.com/settlements/cfpb-payments-navient</w:t>
      </w:r>
    </w:p>
    <w:p>
      <w:pPr>
        <w:pStyle w:val="Heading2"/>
      </w:pPr>
      <w:r>
        <w:t>Midland Credit Management</w:t>
      </w:r>
    </w:p>
    <w:p>
      <w:pPr>
        <w:spacing w:after="40"/>
      </w:pPr>
      <w:r>
        <w:rPr>
          <w:b/>
        </w:rPr>
        <w:t xml:space="preserve">Settlement: </w:t>
      </w:r>
      <w:r>
        <w:t>Leedeman v. MCM (California)</w:t>
      </w:r>
    </w:p>
    <w:p>
      <w:pPr>
        <w:spacing w:after="40"/>
      </w:pPr>
      <w:r>
        <w:rPr>
          <w:b/>
        </w:rPr>
        <w:t xml:space="preserve">Fund: </w:t>
      </w:r>
      <w:r>
        <w:t>see case-intake workbook</w:t>
      </w:r>
    </w:p>
    <w:p>
      <w:pPr>
        <w:spacing w:after="40"/>
      </w:pPr>
      <w:r>
        <w:rPr>
          <w:b/>
        </w:rPr>
        <w:t xml:space="preserve">Status: </w:t>
      </w:r>
      <w:r>
        <w:t>AUTOMATIC — CA class paid without claim form (optional digital-pay election)</w:t>
      </w:r>
    </w:p>
    <w:p>
      <w:pPr>
        <w:spacing w:after="40"/>
      </w:pPr>
      <w:r>
        <w:rPr>
          <w:b/>
        </w:rPr>
        <w:t xml:space="preserve">Per claimant: </w:t>
      </w:r>
      <w:r>
        <w:t>Varies</w:t>
      </w:r>
    </w:p>
    <w:p>
      <w:pPr>
        <w:spacing w:after="40"/>
      </w:pPr>
      <w:r>
        <w:rPr>
          <w:b/>
        </w:rPr>
        <w:t xml:space="preserve">Class definition: </w:t>
      </w:r>
      <w:r>
        <w:t>See data/case-intake/case-intake-platforms.xlsx Claim Requirements sheet</w:t>
      </w:r>
    </w:p>
    <w:p>
      <w:pPr>
        <w:spacing w:after="40"/>
      </w:pPr>
      <w:r>
        <w:rPr>
          <w:b/>
        </w:rPr>
        <w:t xml:space="preserve">Action needed: </w:t>
      </w:r>
      <w:r>
        <w:t>None</w:t>
      </w:r>
    </w:p>
    <w:p>
      <w:pPr>
        <w:spacing w:after="40"/>
      </w:pPr>
      <w:r>
        <w:rPr>
          <w:b/>
        </w:rPr>
        <w:t xml:space="preserve">Tier: </w:t>
      </w:r>
      <w:r>
        <w:t>1</w:t>
      </w:r>
    </w:p>
    <w:p>
      <w:pPr>
        <w:spacing w:after="40"/>
      </w:pPr>
      <w:r>
        <w:rPr>
          <w:b/>
        </w:rPr>
        <w:t xml:space="preserve">Data mapping: </w:t>
      </w:r>
      <w:r>
        <w:t>MCM tradeline/collection + CA address. Cohort (national): 241,303; filter state=CA.</w:t>
      </w:r>
    </w:p>
    <w:p>
      <w:pPr>
        <w:spacing w:after="40"/>
      </w:pPr>
      <w:r>
        <w:rPr>
          <w:b/>
        </w:rPr>
        <w:t xml:space="preserve">Sources: </w:t>
      </w:r>
      <w:r>
        <w:t>data/case-intake/case-intake-platforms.xlsx</w:t>
      </w:r>
    </w:p>
    <w:p>
      <w:pPr>
        <w:pStyle w:val="Heading2"/>
      </w:pPr>
      <w:r>
        <w:t>National Credit Adjusters, LLC</w:t>
      </w:r>
    </w:p>
    <w:p>
      <w:pPr>
        <w:spacing w:after="40"/>
      </w:pPr>
      <w:r>
        <w:rPr>
          <w:b/>
        </w:rPr>
        <w:t xml:space="preserve">Settlement: </w:t>
      </w:r>
      <w:r>
        <w:t>Blackburn v. NCA (Virginia)</w:t>
      </w:r>
    </w:p>
    <w:p>
      <w:pPr>
        <w:spacing w:after="40"/>
      </w:pPr>
      <w:r>
        <w:rPr>
          <w:b/>
        </w:rPr>
        <w:t xml:space="preserve">Fund: </w:t>
      </w:r>
      <w:r>
        <w:t>debt cancellation + tradeline deletion</w:t>
      </w:r>
    </w:p>
    <w:p>
      <w:pPr>
        <w:spacing w:after="40"/>
      </w:pPr>
      <w:r>
        <w:rPr>
          <w:b/>
        </w:rPr>
        <w:t xml:space="preserve">Status: </w:t>
      </w:r>
      <w:r>
        <w:t>AUTOMATIC — relief applied without filing</w:t>
      </w:r>
    </w:p>
    <w:p>
      <w:pPr>
        <w:spacing w:after="40"/>
      </w:pPr>
      <w:r>
        <w:rPr>
          <w:b/>
        </w:rPr>
        <w:t xml:space="preserve">Per claimant: </w:t>
      </w:r>
      <w:r>
        <w:t>Debt cancel + deletion</w:t>
      </w:r>
    </w:p>
    <w:p>
      <w:pPr>
        <w:spacing w:after="40"/>
      </w:pPr>
      <w:r>
        <w:rPr>
          <w:b/>
        </w:rPr>
        <w:t xml:space="preserve">Class definition: </w:t>
      </w:r>
      <w:r>
        <w:t>VA consumers per settlement (see case-intake workbook)</w:t>
      </w:r>
    </w:p>
    <w:p>
      <w:pPr>
        <w:spacing w:after="40"/>
      </w:pPr>
      <w:r>
        <w:rPr>
          <w:b/>
        </w:rPr>
        <w:t xml:space="preserve">Action needed: </w:t>
      </w:r>
      <w:r>
        <w:t>None</w:t>
      </w:r>
    </w:p>
    <w:p>
      <w:pPr>
        <w:spacing w:after="40"/>
      </w:pPr>
      <w:r>
        <w:rPr>
          <w:b/>
        </w:rPr>
        <w:t xml:space="preserve">Tier: </w:t>
      </w:r>
      <w:r>
        <w:t>1</w:t>
      </w:r>
    </w:p>
    <w:p>
      <w:pPr>
        <w:spacing w:after="40"/>
      </w:pPr>
      <w:r>
        <w:rPr>
          <w:b/>
        </w:rPr>
        <w:t xml:space="preserve">Data mapping: </w:t>
      </w:r>
      <w:r>
        <w:t>NCA collection tradeline + VA address.</w:t>
      </w:r>
    </w:p>
    <w:p>
      <w:pPr>
        <w:spacing w:after="40"/>
      </w:pPr>
      <w:r>
        <w:rPr>
          <w:b/>
        </w:rPr>
        <w:t xml:space="preserve">Sources: </w:t>
      </w:r>
      <w:r>
        <w:t>data/case-intake/case-intake-platforms.xlsx</w:t>
      </w:r>
    </w:p>
    <w:p>
      <w:pPr>
        <w:pStyle w:val="Heading1"/>
      </w:pPr>
      <w:r>
        <w:t>Bucket B — Open Claim Window, Filing Workflow Required</w:t>
      </w:r>
    </w:p>
    <w:p>
      <w:pPr>
        <w:pStyle w:val="Heading2"/>
      </w:pPr>
      <w:r>
        <w:t>PHH Mortgage / PHH Corp. and affiliates</w:t>
      </w:r>
    </w:p>
    <w:p>
      <w:pPr>
        <w:spacing w:after="40"/>
      </w:pPr>
      <w:r>
        <w:rPr>
          <w:b/>
        </w:rPr>
        <w:t xml:space="preserve">Settlement: </w:t>
      </w:r>
      <w:r>
        <w:t>Munoz v. PHH Corp. — captive mortgage reinsurance kickbacks (RESPA)</w:t>
      </w:r>
    </w:p>
    <w:p>
      <w:pPr>
        <w:spacing w:after="40"/>
      </w:pPr>
      <w:r>
        <w:rPr>
          <w:b/>
        </w:rPr>
        <w:t xml:space="preserve">Fund: </w:t>
      </w:r>
      <w:r>
        <w:t>fixed per-loan payments, no pro-rata reduction</w:t>
      </w:r>
    </w:p>
    <w:p>
      <w:pPr>
        <w:spacing w:after="40"/>
      </w:pPr>
      <w:r>
        <w:rPr>
          <w:b/>
        </w:rPr>
        <w:t xml:space="preserve">Claim deadline: </w:t>
      </w:r>
      <w:r>
        <w:t>2026-08-11</w:t>
      </w:r>
    </w:p>
    <w:p>
      <w:pPr>
        <w:spacing w:after="40"/>
      </w:pPr>
      <w:r>
        <w:rPr>
          <w:b/>
        </w:rPr>
        <w:t xml:space="preserve">Per claimant: </w:t>
      </w:r>
      <w:r>
        <w:t>$875 per loan (fixed)</w:t>
      </w:r>
    </w:p>
    <w:p>
      <w:pPr>
        <w:spacing w:after="40"/>
      </w:pPr>
      <w:r>
        <w:rPr>
          <w:b/>
        </w:rPr>
        <w:t xml:space="preserve">Proof required: </w:t>
      </w:r>
      <w:r>
        <w:t>Claim form; class list is loan-based</w:t>
      </w:r>
    </w:p>
    <w:p>
      <w:pPr>
        <w:spacing w:after="40"/>
      </w:pPr>
      <w:r>
        <w:rPr>
          <w:b/>
        </w:rPr>
        <w:t xml:space="preserve">Class definition: </w:t>
      </w:r>
      <w:r>
        <w:t>Persons who obtained residential mortgage loans originated and/or acquired by PHH or affiliates 2007-01-01 to 2009-12-31, purchased private mortgage insurance, and whose loans were in PHH's captive mortgage reinsurance agreements (incl. successors/heirs/assigns)</w:t>
      </w:r>
    </w:p>
    <w:p>
      <w:pPr>
        <w:spacing w:after="40"/>
      </w:pPr>
      <w:r>
        <w:rPr>
          <w:b/>
        </w:rPr>
        <w:t xml:space="preserve">Claims URL: </w:t>
      </w:r>
      <w:r>
        <w:t>https://www.phhmisettlement.com/</w:t>
      </w:r>
    </w:p>
    <w:p>
      <w:pPr>
        <w:spacing w:after="40"/>
      </w:pPr>
      <w:r>
        <w:rPr>
          <w:b/>
        </w:rPr>
        <w:t xml:space="preserve">Tier: </w:t>
      </w:r>
      <w:r>
        <w:t>1</w:t>
      </w:r>
    </w:p>
    <w:p>
      <w:pPr>
        <w:spacing w:after="40"/>
      </w:pPr>
      <w:r>
        <w:rPr>
          <w:b/>
        </w:rPr>
        <w:t xml:space="preserve">Data mapping: </w:t>
      </w:r>
      <w:r>
        <w:t>Mortgage tradeline with creditor ~ PHH AND open_date 2007-2009. PMI/captive-reinsurance element not visible in data but loan vintage + creditor is a strong screen; administrator list confirms. MEASURED 2026-06-10: PHH any-vintage = 29,679 LEX + 14,552 CCOM people; 2007-2009 vintage = 4,180 LEX + 1,624 CCOM (~5,800 combined, overlap not deduped) — at $875 fixed/loan that is a ~$5.1M claim ceiling before the captive-reinsurance screen. Ocwen (acquirer, context only): 52,681 LEX. Spellings: PHH MORTGAGE SERVICES / PHH MORT SVC / PHH MORTGAGE ICE CENTER.</w:t>
      </w:r>
    </w:p>
    <w:p>
      <w:pPr>
        <w:spacing w:after="40"/>
      </w:pPr>
      <w:r>
        <w:rPr>
          <w:b/>
        </w:rPr>
        <w:t xml:space="preserve">Match fields: </w:t>
      </w:r>
      <w:r>
        <w:t>creditor_name_raw/AccountHolder ~ PHH; open_date in 2007..2009; typ = mortgage</w:t>
      </w:r>
    </w:p>
    <w:p>
      <w:pPr>
        <w:spacing w:after="40"/>
      </w:pPr>
      <w:r>
        <w:rPr>
          <w:b/>
        </w:rPr>
        <w:t xml:space="preserve">Sources: </w:t>
      </w:r>
      <w:r>
        <w:t>https://www.phhmisettlement.com/ | https://www.classaction.org/news/phh-settlement-offers-875-payouts-to-resolve-class-action-over-alleged-mortgage-insurance-kickbacks</w:t>
      </w:r>
    </w:p>
    <w:p>
      <w:pPr>
        <w:pStyle w:val="Heading2"/>
      </w:pPr>
      <w:r>
        <w:t>Flagstar Bank / Flagstar Bancorp</w:t>
      </w:r>
    </w:p>
    <w:p>
      <w:pPr>
        <w:spacing w:after="40"/>
      </w:pPr>
      <w:r>
        <w:rPr>
          <w:b/>
        </w:rPr>
        <w:t xml:space="preserve">Settlement: </w:t>
      </w:r>
      <w:r>
        <w:t>2021 data breaches (Jan 2021 Accellion + Dec 2021) — $31.5M</w:t>
      </w:r>
    </w:p>
    <w:p>
      <w:pPr>
        <w:spacing w:after="40"/>
      </w:pPr>
      <w:r>
        <w:rPr>
          <w:b/>
        </w:rPr>
        <w:t xml:space="preserve">Fund: </w:t>
      </w:r>
      <w:r>
        <w:t>$31,500,000</w:t>
      </w:r>
    </w:p>
    <w:p>
      <w:pPr>
        <w:spacing w:after="40"/>
      </w:pPr>
      <w:r>
        <w:rPr>
          <w:b/>
        </w:rPr>
        <w:t xml:space="preserve">Claim deadline: </w:t>
      </w:r>
      <w:r>
        <w:t>2026-08-11</w:t>
      </w:r>
    </w:p>
    <w:p>
      <w:pPr>
        <w:spacing w:after="40"/>
      </w:pPr>
      <w:r>
        <w:rPr>
          <w:b/>
        </w:rPr>
        <w:t xml:space="preserve">Per claimant: </w:t>
      </w:r>
      <w:r>
        <w:t>~$60 cash (up to $599) no-proof tier; up to $25,000 documented losses; +$100 CA CCPA; 3yr credit monitoring</w:t>
      </w:r>
    </w:p>
    <w:p>
      <w:pPr>
        <w:spacing w:after="40"/>
      </w:pPr>
      <w:r>
        <w:rPr>
          <w:b/>
        </w:rPr>
        <w:t xml:space="preserve">Proof required: </w:t>
      </w:r>
      <w:r>
        <w:t>Claim ID from mailed/emailed notice required to file; documented-loss tier needs receipts</w:t>
      </w:r>
    </w:p>
    <w:p>
      <w:pPr>
        <w:spacing w:after="40"/>
      </w:pPr>
      <w:r>
        <w:rPr>
          <w:b/>
        </w:rPr>
        <w:t xml:space="preserve">Class definition: </w:t>
      </w:r>
      <w:r>
        <w:t>~2,187,170 U.S. individuals whose personal information was exposed in Flagstar's two 2021 cyberattacks</w:t>
      </w:r>
    </w:p>
    <w:p>
      <w:pPr>
        <w:spacing w:after="40"/>
      </w:pPr>
      <w:r>
        <w:rPr>
          <w:b/>
        </w:rPr>
        <w:t xml:space="preserve">Claims URL: </w:t>
      </w:r>
      <w:r>
        <w:t>see notice / administrator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Flagstar mortgage/banking tradeline in 2020-2021 = plausible class member; gate is the breach notice (Claim ID). Workflow: locate notice or administrator lookup by name/address. MEASURED 2026-06-10: 24,158 LEX + 14,260 CCOM people with Flagstar tradelines (any window; spellings FLAGSTAR BANK / FLAGSTAR BK / NYCB AKA FLAGSTAR BANK). Class is 2.19M nationally, so expect a meaningful subset to hold Claim IDs.</w:t>
      </w:r>
    </w:p>
    <w:p>
      <w:pPr>
        <w:spacing w:after="40"/>
      </w:pPr>
      <w:r>
        <w:rPr>
          <w:b/>
        </w:rPr>
        <w:t xml:space="preserve">Match fields: </w:t>
      </w:r>
      <w:r>
        <w:t>creditor ~ flagstar; lrd/open window 2019-2021</w:t>
      </w:r>
    </w:p>
    <w:p>
      <w:pPr>
        <w:spacing w:after="40"/>
      </w:pPr>
      <w:r>
        <w:rPr>
          <w:b/>
        </w:rPr>
        <w:t xml:space="preserve">Sources: </w:t>
      </w:r>
      <w:r>
        <w:t>https://www.classaction.org/news/31.5m-flagstar-bank-settlement-resolves-class-action-lawsuit-over-2021-data-breaches</w:t>
      </w:r>
    </w:p>
    <w:p>
      <w:pPr>
        <w:pStyle w:val="Heading2"/>
      </w:pPr>
      <w:r>
        <w:t>Comcast Cable Communications (Xfinity)</w:t>
      </w:r>
    </w:p>
    <w:p>
      <w:pPr>
        <w:spacing w:after="40"/>
      </w:pPr>
      <w:r>
        <w:rPr>
          <w:b/>
        </w:rPr>
        <w:t xml:space="preserve">Settlement: </w:t>
      </w:r>
      <w:r>
        <w:t>Citrix Bleed data breach (Oct 16-19, 2023) class settlement — Kroll administering</w:t>
      </w:r>
    </w:p>
    <w:p>
      <w:pPr>
        <w:spacing w:after="40"/>
      </w:pPr>
      <w:r>
        <w:rPr>
          <w:b/>
        </w:rPr>
        <w:t xml:space="preserve">Fund: </w:t>
      </w:r>
      <w:r>
        <w:t>$117,500,000</w:t>
      </w:r>
    </w:p>
    <w:p>
      <w:pPr>
        <w:spacing w:after="40"/>
      </w:pPr>
      <w:r>
        <w:rPr>
          <w:b/>
        </w:rPr>
        <w:t xml:space="preserve">Claim deadline: </w:t>
      </w:r>
      <w:r>
        <w:t>2026-08-14 (some sources report extension to 2026-09-14 — verify)</w:t>
      </w:r>
    </w:p>
    <w:p>
      <w:pPr>
        <w:spacing w:after="40"/>
      </w:pPr>
      <w:r>
        <w:rPr>
          <w:b/>
        </w:rPr>
        <w:t xml:space="preserve">Per claimant: </w:t>
      </w:r>
      <w:r>
        <w:t>$50 cash base; up to $10,000 documented losses</w:t>
      </w:r>
    </w:p>
    <w:p>
      <w:pPr>
        <w:spacing w:after="40"/>
      </w:pPr>
      <w:r>
        <w:rPr>
          <w:b/>
        </w:rPr>
        <w:t xml:space="preserve">Proof required: </w:t>
      </w:r>
      <w:r>
        <w:t>No proof for $50 base tier; documentation for loss tier</w:t>
      </w:r>
    </w:p>
    <w:p>
      <w:pPr>
        <w:spacing w:after="40"/>
      </w:pPr>
      <w:r>
        <w:rPr>
          <w:b/>
        </w:rPr>
        <w:t xml:space="preserve">Class definition: </w:t>
      </w:r>
      <w:r>
        <w:t>~31.6M U.S. individuals whose personal information was compromised in the Comcast/Xfinity breach of Oct 16-19, 2023</w:t>
      </w:r>
    </w:p>
    <w:p>
      <w:pPr>
        <w:spacing w:after="40"/>
      </w:pPr>
      <w:r>
        <w:rPr>
          <w:b/>
        </w:rPr>
        <w:t xml:space="preserve">Claims URL: </w:t>
      </w:r>
      <w:r>
        <w:t>https://www.comcastbreachsettlement.com/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Xfinity is a utility/telecom relationship — usually NOT a tradeline. MEASURED 2026-06-10: only 4,492 LEX + 1,029 CCOM people show Comcast/Xfinity tradelines or collections. The real play is population overlap: ~31.6M national class against a 10M contactable base means roughly 1 in 10 of the base is plausibly a class member by national incidence — outreach/attestation channel, not creditor matching.</w:t>
      </w:r>
    </w:p>
    <w:p>
      <w:pPr>
        <w:spacing w:after="40"/>
      </w:pPr>
      <w:r>
        <w:rPr>
          <w:b/>
        </w:rPr>
        <w:t xml:space="preserve">Sources: </w:t>
      </w:r>
      <w:r>
        <w:t>https://www.classaction.org/settlements (8/14/26 row)</w:t>
      </w:r>
    </w:p>
    <w:p>
      <w:pPr>
        <w:pStyle w:val="Heading2"/>
      </w:pPr>
      <w:r>
        <w:t>Fidelity Investments (FMR LLC)</w:t>
      </w:r>
    </w:p>
    <w:p>
      <w:pPr>
        <w:spacing w:after="40"/>
      </w:pPr>
      <w:r>
        <w:rPr>
          <w:b/>
        </w:rPr>
        <w:t xml:space="preserve">Settlement: </w:t>
      </w:r>
      <w:r>
        <w:t>Aug 2024 data breach — $2.5M</w:t>
      </w:r>
    </w:p>
    <w:p>
      <w:pPr>
        <w:spacing w:after="40"/>
      </w:pPr>
      <w:r>
        <w:rPr>
          <w:b/>
        </w:rPr>
        <w:t xml:space="preserve">Fund: </w:t>
      </w:r>
      <w:r>
        <w:t>$2,500,000</w:t>
      </w:r>
    </w:p>
    <w:p>
      <w:pPr>
        <w:spacing w:after="40"/>
      </w:pPr>
      <w:r>
        <w:rPr>
          <w:b/>
        </w:rPr>
        <w:t xml:space="preserve">Claim deadline: </w:t>
      </w:r>
      <w:r>
        <w:t>2026-07-27</w:t>
      </w:r>
    </w:p>
    <w:p>
      <w:pPr>
        <w:spacing w:after="40"/>
      </w:pPr>
      <w:r>
        <w:rPr>
          <w:b/>
        </w:rPr>
        <w:t xml:space="preserve">Per claimant: </w:t>
      </w:r>
      <w:r>
        <w:t>~$100 base (+$50 CA); up to $5,000 documented</w:t>
      </w:r>
    </w:p>
    <w:p>
      <w:pPr>
        <w:spacing w:after="40"/>
      </w:pPr>
      <w:r>
        <w:rPr>
          <w:b/>
        </w:rPr>
        <w:t xml:space="preserve">Proof required: </w:t>
      </w:r>
      <w:r>
        <w:t>Login ID + PIN from notice (administrator can resend)</w:t>
      </w:r>
    </w:p>
    <w:p>
      <w:pPr>
        <w:spacing w:after="40"/>
      </w:pPr>
      <w:r>
        <w:rPr>
          <w:b/>
        </w:rPr>
        <w:t xml:space="preserve">Class definition: </w:t>
      </w:r>
      <w:r>
        <w:t>U.S. individuals whose financial account/routing numbers were exposed in the 2024-08-17..19 breach or who received notice (~77,000 people)</w:t>
      </w:r>
    </w:p>
    <w:p>
      <w:pPr>
        <w:spacing w:after="40"/>
      </w:pPr>
      <w:r>
        <w:rPr>
          <w:b/>
        </w:rPr>
        <w:t xml:space="preserve">Claims URL: </w:t>
      </w:r>
      <w:r>
        <w:t>FidelityDataSettlement.com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Small class (77K). Fidelity not typically a tradeline. Low expected overlap — include for completeness only.</w:t>
      </w:r>
    </w:p>
    <w:p>
      <w:pPr>
        <w:spacing w:after="40"/>
      </w:pPr>
      <w:r>
        <w:rPr>
          <w:b/>
        </w:rPr>
        <w:t xml:space="preserve">Sources: </w:t>
      </w:r>
      <w:r>
        <w:t>https://topclassactions.com/lawsuit-settlements/open-lawsuit-settlements/2-5m-fidelity-investment-data-breach-class-action-settlement/</w:t>
      </w:r>
    </w:p>
    <w:p>
      <w:pPr>
        <w:pStyle w:val="Heading2"/>
      </w:pPr>
      <w:r>
        <w:t>Hy Cite Enterprises (Royal Prestige)</w:t>
      </w:r>
    </w:p>
    <w:p>
      <w:pPr>
        <w:spacing w:after="40"/>
      </w:pPr>
      <w:r>
        <w:rPr>
          <w:b/>
        </w:rPr>
        <w:t xml:space="preserve">Settlement: </w:t>
      </w:r>
      <w:r>
        <w:t>TCPA prerecorded calls to non-customers — $4.75M</w:t>
      </w:r>
    </w:p>
    <w:p>
      <w:pPr>
        <w:spacing w:after="40"/>
      </w:pPr>
      <w:r>
        <w:rPr>
          <w:b/>
        </w:rPr>
        <w:t xml:space="preserve">Fund: </w:t>
      </w:r>
      <w:r>
        <w:t>$4,750,000</w:t>
      </w:r>
    </w:p>
    <w:p>
      <w:pPr>
        <w:spacing w:after="40"/>
      </w:pPr>
      <w:r>
        <w:rPr>
          <w:b/>
        </w:rPr>
        <w:t xml:space="preserve">Claim deadline: </w:t>
      </w:r>
      <w:r>
        <w:t>2026-07-08</w:t>
      </w:r>
    </w:p>
    <w:p>
      <w:pPr>
        <w:spacing w:after="40"/>
      </w:pPr>
      <w:r>
        <w:rPr>
          <w:b/>
        </w:rPr>
        <w:t xml:space="preserve">Per claimant: </w:t>
      </w:r>
      <w:r>
        <w:t>estimated $600-$1,000</w:t>
      </w:r>
    </w:p>
    <w:p>
      <w:pPr>
        <w:spacing w:after="40"/>
      </w:pPr>
      <w:r>
        <w:rPr>
          <w:b/>
        </w:rPr>
        <w:t xml:space="preserve">Proof required: </w:t>
      </w:r>
      <w:r>
        <w:t>Claim form; attestation (verify whether phone-number matching against dialer records)</w:t>
      </w:r>
    </w:p>
    <w:p>
      <w:pPr>
        <w:spacing w:after="40"/>
      </w:pPr>
      <w:r>
        <w:rPr>
          <w:b/>
        </w:rPr>
        <w:t xml:space="preserve">Class definition: </w:t>
      </w:r>
      <w:r>
        <w:t>U.S. residents who received an artificial/prerecorded voice call on a cell phone from Hy Cite 2020-10-22 to 2025-09-10 and were NOT Hy Cite customers</w:t>
      </w:r>
    </w:p>
    <w:p>
      <w:pPr>
        <w:spacing w:after="40"/>
      </w:pPr>
      <w:r>
        <w:rPr>
          <w:b/>
        </w:rPr>
        <w:t xml:space="preserve">Claims URL: </w:t>
      </w:r>
      <w:r>
        <w:t>verify (dapeer.com lists; find administrator site)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Pure attestation — credit data cannot show call receipt; phone numbers on file enable administrator dialer-list matching. High per-claimant value makes outreach worthwhile.</w:t>
      </w:r>
    </w:p>
    <w:p>
      <w:pPr>
        <w:spacing w:after="40"/>
      </w:pPr>
      <w:r>
        <w:rPr>
          <w:b/>
        </w:rPr>
        <w:t xml:space="preserve">Sources: </w:t>
      </w:r>
      <w:r>
        <w:t>https://www.dapeer.com/open-settlements/hy-cite-tcpa-settlement | https://www.claimdepot.com/settlements/hycite-tcpa-settlement</w:t>
      </w:r>
    </w:p>
    <w:p>
      <w:pPr>
        <w:pStyle w:val="Heading2"/>
      </w:pPr>
      <w:r>
        <w:t>Register.com Inc.</w:t>
      </w:r>
    </w:p>
    <w:p>
      <w:pPr>
        <w:spacing w:after="40"/>
      </w:pPr>
      <w:r>
        <w:rPr>
          <w:b/>
        </w:rPr>
        <w:t xml:space="preserve">Settlement: </w:t>
      </w:r>
      <w:r>
        <w:t>TCPA reassigned-number prerecorded calls — $1.5M</w:t>
      </w:r>
    </w:p>
    <w:p>
      <w:pPr>
        <w:spacing w:after="40"/>
      </w:pPr>
      <w:r>
        <w:rPr>
          <w:b/>
        </w:rPr>
        <w:t xml:space="preserve">Fund: </w:t>
      </w:r>
      <w:r>
        <w:t>$1,500,000</w:t>
      </w:r>
    </w:p>
    <w:p>
      <w:pPr>
        <w:spacing w:after="40"/>
      </w:pPr>
      <w:r>
        <w:rPr>
          <w:b/>
        </w:rPr>
        <w:t xml:space="preserve">Claim deadline: </w:t>
      </w:r>
      <w:r>
        <w:t>2026-06-15</w:t>
      </w:r>
    </w:p>
    <w:p>
      <w:pPr>
        <w:spacing w:after="40"/>
      </w:pPr>
      <w:r>
        <w:rPr>
          <w:b/>
        </w:rPr>
        <w:t xml:space="preserve">Per claimant: </w:t>
      </w:r>
      <w:r>
        <w:t>~$2,130 per affected number (court estimate)</w:t>
      </w:r>
    </w:p>
    <w:p>
      <w:pPr>
        <w:spacing w:after="40"/>
      </w:pPr>
      <w:r>
        <w:rPr>
          <w:b/>
        </w:rPr>
        <w:t xml:space="preserve">Proof required: </w:t>
      </w:r>
      <w:r>
        <w:t>Proof of cell number that received the call</w:t>
      </w:r>
    </w:p>
    <w:p>
      <w:pPr>
        <w:spacing w:after="40"/>
      </w:pPr>
      <w:r>
        <w:rPr>
          <w:b/>
        </w:rPr>
        <w:t xml:space="preserve">Class definition: </w:t>
      </w:r>
      <w:r>
        <w:t>Persons called by Register.com with artificial/prerecorded voice 2021-02-12 to 2025-11-24 after the number was permanently disconnected and listed in the FCC Reassigned Numbers Database</w:t>
      </w:r>
    </w:p>
    <w:p>
      <w:pPr>
        <w:spacing w:after="40"/>
      </w:pPr>
      <w:r>
        <w:rPr>
          <w:b/>
        </w:rPr>
        <w:t xml:space="preserve">Claims URL: </w:t>
      </w:r>
      <w:r>
        <w:t>verify administrator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Very narrow (reassigned numbers). Phone numbers on file could be cross-checked, but 5-day window — likely skip unless trivial.</w:t>
      </w:r>
    </w:p>
    <w:p>
      <w:pPr>
        <w:spacing w:after="40"/>
      </w:pPr>
      <w:r>
        <w:rPr>
          <w:b/>
        </w:rPr>
        <w:t xml:space="preserve">Sources: </w:t>
      </w:r>
      <w:r>
        <w:t>https://topclassactions.com/lawsuit-settlements/open-lawsuit-settlements/1-5m-register-com-robocalls-class-action-settlement/</w:t>
      </w:r>
    </w:p>
    <w:p>
      <w:pPr>
        <w:pStyle w:val="Heading2"/>
      </w:pPr>
      <w:r>
        <w:t>Athena Bitcoin, Inc.</w:t>
      </w:r>
    </w:p>
    <w:p>
      <w:pPr>
        <w:spacing w:after="40"/>
      </w:pPr>
      <w:r>
        <w:rPr>
          <w:b/>
        </w:rPr>
        <w:t xml:space="preserve">Settlement: </w:t>
      </w:r>
      <w:r>
        <w:t>Jackson v. Athena Bitcoin — TCPA/FTSA texts — $4.5M</w:t>
      </w:r>
    </w:p>
    <w:p>
      <w:pPr>
        <w:spacing w:after="40"/>
      </w:pPr>
      <w:r>
        <w:rPr>
          <w:b/>
        </w:rPr>
        <w:t xml:space="preserve">Fund: </w:t>
      </w:r>
      <w:r>
        <w:t>$4,500,000</w:t>
      </w:r>
    </w:p>
    <w:p>
      <w:pPr>
        <w:spacing w:after="40"/>
      </w:pPr>
      <w:r>
        <w:rPr>
          <w:b/>
        </w:rPr>
        <w:t xml:space="preserve">Claim deadline: </w:t>
      </w:r>
      <w:r>
        <w:t>2026-06-30</w:t>
      </w:r>
    </w:p>
    <w:p>
      <w:pPr>
        <w:spacing w:after="40"/>
      </w:pPr>
      <w:r>
        <w:rPr>
          <w:b/>
        </w:rPr>
        <w:t xml:space="preserve">Per claimant: </w:t>
      </w:r>
      <w:r>
        <w:t>share of fund</w:t>
      </w:r>
    </w:p>
    <w:p>
      <w:pPr>
        <w:spacing w:after="40"/>
      </w:pPr>
      <w:r>
        <w:rPr>
          <w:b/>
        </w:rPr>
        <w:t xml:space="preserve">Proof required: </w:t>
      </w:r>
      <w:r>
        <w:t>Class Member ID from notice</w:t>
      </w:r>
    </w:p>
    <w:p>
      <w:pPr>
        <w:spacing w:after="40"/>
      </w:pPr>
      <w:r>
        <w:rPr>
          <w:b/>
        </w:rPr>
        <w:t xml:space="preserve">Class definition: </w:t>
      </w:r>
      <w:r>
        <w:t>See case-intake workbook Claim Requirements sheet</w:t>
      </w:r>
    </w:p>
    <w:p>
      <w:pPr>
        <w:spacing w:after="40"/>
      </w:pPr>
      <w:r>
        <w:rPr>
          <w:b/>
        </w:rPr>
        <w:t xml:space="preserve">Claims URL: </w:t>
      </w:r>
      <w:r>
        <w:t>see workbook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Notice-gated; phone match via administrator.</w:t>
      </w:r>
    </w:p>
    <w:p>
      <w:pPr>
        <w:spacing w:after="40"/>
      </w:pPr>
      <w:r>
        <w:rPr>
          <w:b/>
        </w:rPr>
        <w:t xml:space="preserve">Sources: </w:t>
      </w:r>
      <w:r>
        <w:t>data/case-intake/case-intake-platforms.xlsx</w:t>
      </w:r>
    </w:p>
    <w:p>
      <w:pPr>
        <w:pStyle w:val="Heading2"/>
      </w:pPr>
      <w:r>
        <w:t>Genesis Financial Solutions (Concora Credit)</w:t>
      </w:r>
    </w:p>
    <w:p>
      <w:pPr>
        <w:spacing w:after="40"/>
      </w:pPr>
      <w:r>
        <w:rPr>
          <w:b/>
        </w:rPr>
        <w:t xml:space="preserve">Settlement: </w:t>
      </w:r>
      <w:r>
        <w:t>Ford v. Genesis — Maryland unlicensed lending (interest/fees)</w:t>
      </w:r>
    </w:p>
    <w:p>
      <w:pPr>
        <w:spacing w:after="40"/>
      </w:pPr>
      <w:r>
        <w:rPr>
          <w:b/>
        </w:rPr>
        <w:t xml:space="preserve">Fund: </w:t>
      </w:r>
      <w:r>
        <w:t>see workbook</w:t>
      </w:r>
    </w:p>
    <w:p>
      <w:pPr>
        <w:spacing w:after="40"/>
      </w:pPr>
      <w:r>
        <w:rPr>
          <w:b/>
        </w:rPr>
        <w:t xml:space="preserve">Claim deadline: </w:t>
      </w:r>
      <w:r>
        <w:t>2026-06-29</w:t>
      </w:r>
    </w:p>
    <w:p>
      <w:pPr>
        <w:spacing w:after="40"/>
      </w:pPr>
      <w:r>
        <w:rPr>
          <w:b/>
        </w:rPr>
        <w:t xml:space="preserve">Per claimant: </w:t>
      </w:r>
      <w:r>
        <w:t>varies</w:t>
      </w:r>
    </w:p>
    <w:p>
      <w:pPr>
        <w:spacing w:after="40"/>
      </w:pPr>
      <w:r>
        <w:rPr>
          <w:b/>
        </w:rPr>
        <w:t xml:space="preserve">Proof required: </w:t>
      </w:r>
      <w:r>
        <w:t>Claim form + mailed PIN</w:t>
      </w:r>
    </w:p>
    <w:p>
      <w:pPr>
        <w:spacing w:after="40"/>
      </w:pPr>
      <w:r>
        <w:rPr>
          <w:b/>
        </w:rPr>
        <w:t xml:space="preserve">Class definition: </w:t>
      </w:r>
      <w:r>
        <w:t>Maryland consumers with Genesis-serviced accounts (see workbook)</w:t>
      </w:r>
    </w:p>
    <w:p>
      <w:pPr>
        <w:spacing w:after="40"/>
      </w:pPr>
      <w:r>
        <w:rPr>
          <w:b/>
        </w:rPr>
        <w:t xml:space="preserve">Claims URL: </w:t>
      </w:r>
      <w:r>
        <w:t>see workbook</w:t>
      </w:r>
    </w:p>
    <w:p>
      <w:pPr>
        <w:spacing w:after="40"/>
      </w:pPr>
      <w:r>
        <w:rPr>
          <w:b/>
        </w:rPr>
        <w:t xml:space="preserve">Tier: </w:t>
      </w:r>
      <w:r>
        <w:t>1</w:t>
      </w:r>
    </w:p>
    <w:p>
      <w:pPr>
        <w:spacing w:after="40"/>
      </w:pPr>
      <w:r>
        <w:rPr>
          <w:b/>
        </w:rPr>
        <w:t xml:space="preserve">Data mapping: </w:t>
      </w:r>
      <w:r>
        <w:t>Genesis/Milestone tradeline + MD address. Cohort token: milestone genesis (indexed).</w:t>
      </w:r>
    </w:p>
    <w:p>
      <w:pPr>
        <w:spacing w:after="40"/>
      </w:pPr>
      <w:r>
        <w:rPr>
          <w:b/>
        </w:rPr>
        <w:t xml:space="preserve">Sources: </w:t>
      </w:r>
      <w:r>
        <w:t>data/case-intake/case-intake-platforms.xlsx</w:t>
      </w:r>
    </w:p>
    <w:p>
      <w:pPr>
        <w:pStyle w:val="Heading2"/>
      </w:pPr>
      <w:r>
        <w:t>Hyundai Motor America / Kia America</w:t>
      </w:r>
    </w:p>
    <w:p>
      <w:pPr>
        <w:spacing w:after="40"/>
      </w:pPr>
      <w:r>
        <w:rPr>
          <w:b/>
        </w:rPr>
        <w:t xml:space="preserve">Settlement: </w:t>
      </w:r>
      <w:r>
        <w:t>Multistate immobilizer theft settlement ($4.5M) + $9M companion</w:t>
      </w:r>
    </w:p>
    <w:p>
      <w:pPr>
        <w:spacing w:after="40"/>
      </w:pPr>
      <w:r>
        <w:rPr>
          <w:b/>
        </w:rPr>
        <w:t xml:space="preserve">Fund: </w:t>
      </w:r>
      <w:r>
        <w:t>$4,500,000 (+$9M)</w:t>
      </w:r>
    </w:p>
    <w:p>
      <w:pPr>
        <w:spacing w:after="40"/>
      </w:pPr>
      <w:r>
        <w:rPr>
          <w:b/>
        </w:rPr>
        <w:t xml:space="preserve">Claim deadline: </w:t>
      </w:r>
      <w:r>
        <w:t>2027-03-31</w:t>
      </w:r>
    </w:p>
    <w:p>
      <w:pPr>
        <w:spacing w:after="40"/>
      </w:pPr>
      <w:r>
        <w:rPr>
          <w:b/>
        </w:rPr>
        <w:t xml:space="preserve">Per claimant: </w:t>
      </w:r>
      <w:r>
        <w:t>$375-$4,500 depending on theft loss tier</w:t>
      </w:r>
    </w:p>
    <w:p>
      <w:pPr>
        <w:spacing w:after="40"/>
      </w:pPr>
      <w:r>
        <w:rPr>
          <w:b/>
        </w:rPr>
        <w:t xml:space="preserve">Proof required: </w:t>
      </w:r>
      <w:r>
        <w:t>Yes — vehicle ownership/lease, software-upgrade status, theft/attempt documentation (police report/insurance)</w:t>
      </w:r>
    </w:p>
    <w:p>
      <w:pPr>
        <w:spacing w:after="40"/>
      </w:pPr>
      <w:r>
        <w:rPr>
          <w:b/>
        </w:rPr>
        <w:t xml:space="preserve">Class definition: </w:t>
      </w:r>
      <w:r>
        <w:t>Owners/lessees of 2011-2022 Hyundai/Kia vehicles without factory engine immobilizer, software upgrade installed or scheduled, qualifying theft/attempt on/after 2025-04-29 and before zinc-sleeve install or 2027-03-31</w:t>
      </w:r>
    </w:p>
    <w:p>
      <w:pPr>
        <w:spacing w:after="40"/>
      </w:pPr>
      <w:r>
        <w:rPr>
          <w:b/>
        </w:rPr>
        <w:t xml:space="preserve">Claims URL: </w:t>
      </w:r>
      <w:r>
        <w:t>https://www.hyundaitheftsettlement.com/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Auto tradelines with Hyundai Capital/Kia Finance identify owners; theft event requires claimant docs. Long window = good pipeline case. MEASURED 2026-06-10: Hyundai finance = 44,385 LEX + 15,530 CCOM; Kia finance = 54,466 LEX + 15,386 CCOM (overlap between brands/populations not deduped). Model year 2011-2022 + turn-key ignition narrows further; financing dates ~2011-2022 are the proxy.</w:t>
      </w:r>
    </w:p>
    <w:p>
      <w:pPr>
        <w:spacing w:after="40"/>
      </w:pPr>
      <w:r>
        <w:rPr>
          <w:b/>
        </w:rPr>
        <w:t xml:space="preserve">Sources: </w:t>
      </w:r>
      <w:r>
        <w:t>https://www.hyundaitheftsettlement.com/ | https://www.classaction.org/news/4.5m-hyundai-kia-settlement-offers-financial-repair-benefits-to-owners-of-stolen-vehicles</w:t>
      </w:r>
    </w:p>
    <w:p>
      <w:pPr>
        <w:pStyle w:val="Heading2"/>
      </w:pPr>
      <w:r>
        <w:t>Lakeview Loan Servicing / Bayview Asset Management / Pingora / Community Loan Servicing</w:t>
      </w:r>
    </w:p>
    <w:p>
      <w:pPr>
        <w:spacing w:after="40"/>
      </w:pPr>
      <w:r>
        <w:rPr>
          <w:b/>
        </w:rPr>
        <w:t xml:space="preserve">Settlement: </w:t>
      </w:r>
      <w:r>
        <w:t>In re Lakeview Loan Servicing Data Breach Litigation (Oct 11, 2021 breach)</w:t>
      </w:r>
    </w:p>
    <w:p>
      <w:pPr>
        <w:spacing w:after="40"/>
      </w:pPr>
      <w:r>
        <w:rPr>
          <w:b/>
        </w:rPr>
        <w:t xml:space="preserve">Fund: </w:t>
      </w:r>
      <w:r>
        <w:t>$26,000,000</w:t>
      </w:r>
    </w:p>
    <w:p>
      <w:pPr>
        <w:spacing w:after="40"/>
      </w:pPr>
      <w:r>
        <w:rPr>
          <w:b/>
        </w:rPr>
        <w:t xml:space="preserve">Claim deadline: </w:t>
      </w:r>
      <w:r>
        <w:t>2026-06-22</w:t>
      </w:r>
    </w:p>
    <w:p>
      <w:pPr>
        <w:spacing w:after="40"/>
      </w:pPr>
      <w:r>
        <w:rPr>
          <w:b/>
        </w:rPr>
        <w:t xml:space="preserve">Per claimant: </w:t>
      </w:r>
      <w:r>
        <w:t>Pro rata cash + up to $5,000 documented out-of-pocket; extra pro rata for CA residents</w:t>
      </w:r>
    </w:p>
    <w:p>
      <w:pPr>
        <w:spacing w:after="40"/>
      </w:pPr>
      <w:r>
        <w:rPr>
          <w:b/>
        </w:rPr>
        <w:t xml:space="preserve">Proof required: </w:t>
      </w:r>
      <w:r>
        <w:t>Claim form; documented-loss tier needs receipts; class = breach-notice recipients</w:t>
      </w:r>
    </w:p>
    <w:p>
      <w:pPr>
        <w:spacing w:after="40"/>
      </w:pPr>
      <w:r>
        <w:rPr>
          <w:b/>
        </w:rPr>
        <w:t xml:space="preserve">Class definition: </w:t>
      </w:r>
      <w:r>
        <w:t>U.S. residents who received a notice from Bayview Asset Management, Lakeview Loan Servicing, Pingora Loan Servicing, or Community Loan Servicing that the Oct 11, 2021 breach potentially compromised their PII</w:t>
      </w:r>
    </w:p>
    <w:p>
      <w:pPr>
        <w:spacing w:after="40"/>
      </w:pPr>
      <w:r>
        <w:rPr>
          <w:b/>
        </w:rPr>
        <w:t xml:space="preserve">Claims URL: </w:t>
      </w:r>
      <w:r>
        <w:t>https://lakeviewdatabreachsettlement.com/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MEASURED 2026-06-10: essentially absent from tradelines (~195 LEX matches, mostly UNRELATED 'Lakeview' credit unions/financial cos — name collision). Lakeview subservices via LoanCare, so it rarely appears as the reporting creditor. Outreach/attestation only; deprioritize given 6/22 deadline.</w:t>
      </w:r>
    </w:p>
    <w:p>
      <w:pPr>
        <w:spacing w:after="40"/>
      </w:pPr>
      <w:r>
        <w:rPr>
          <w:b/>
        </w:rPr>
        <w:t xml:space="preserve">Sources: </w:t>
      </w:r>
      <w:r>
        <w:t>https://www.classaction.org/settlements (6/22/26 row)</w:t>
      </w:r>
    </w:p>
    <w:p>
      <w:pPr>
        <w:pStyle w:val="Heading2"/>
      </w:pPr>
      <w:r>
        <w:t>LastPass US LP</w:t>
      </w:r>
    </w:p>
    <w:p>
      <w:pPr>
        <w:spacing w:after="40"/>
      </w:pPr>
      <w:r>
        <w:rPr>
          <w:b/>
        </w:rPr>
        <w:t xml:space="preserve">Settlement: </w:t>
      </w:r>
      <w:r>
        <w:t>2022 Data Security Incident Litigation</w:t>
      </w:r>
    </w:p>
    <w:p>
      <w:pPr>
        <w:spacing w:after="40"/>
      </w:pPr>
      <w:r>
        <w:rPr>
          <w:b/>
        </w:rPr>
        <w:t xml:space="preserve">Fund: </w:t>
      </w:r>
      <w:r>
        <w:t>$24,450,000 ($8.2M cash fund + $16.25M crypto-theft pool)</w:t>
      </w:r>
    </w:p>
    <w:p>
      <w:pPr>
        <w:spacing w:after="40"/>
      </w:pPr>
      <w:r>
        <w:rPr>
          <w:b/>
        </w:rPr>
        <w:t xml:space="preserve">Claim deadline: </w:t>
      </w:r>
      <w:r>
        <w:t>2026-07-02</w:t>
      </w:r>
    </w:p>
    <w:p>
      <w:pPr>
        <w:spacing w:after="40"/>
      </w:pPr>
      <w:r>
        <w:rPr>
          <w:b/>
        </w:rPr>
        <w:t xml:space="preserve">Per claimant: </w:t>
      </w:r>
      <w:r>
        <w:t>$25-$10,400 depending on tier; crypto-theft claims from separate pool</w:t>
      </w:r>
    </w:p>
    <w:p>
      <w:pPr>
        <w:spacing w:after="40"/>
      </w:pPr>
      <w:r>
        <w:rPr>
          <w:b/>
        </w:rPr>
        <w:t xml:space="preserve">Proof required: </w:t>
      </w:r>
      <w:r>
        <w:t>Notice-gated (email notice from LastPass Nov-Dec 2022 or settlement notice); crypto claims need documentation</w:t>
      </w:r>
    </w:p>
    <w:p>
      <w:pPr>
        <w:spacing w:after="40"/>
      </w:pPr>
      <w:r>
        <w:rPr>
          <w:b/>
        </w:rPr>
        <w:t xml:space="preserve">Class definition: </w:t>
      </w:r>
      <w:r>
        <w:t>U.S. persons/entities whose LastPass account data was exposed in the Aug-Nov 2022 incident and who had data stored at the time, per LastPass notice</w:t>
      </w:r>
    </w:p>
    <w:p>
      <w:pPr>
        <w:spacing w:after="40"/>
      </w:pPr>
      <w:r>
        <w:rPr>
          <w:b/>
        </w:rPr>
        <w:t xml:space="preserve">Claims URL: </w:t>
      </w:r>
      <w:r>
        <w:t>https://www.lastpasssettlement.com/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No credit-data signal; outreach-only candidate for the email base.</w:t>
      </w:r>
    </w:p>
    <w:p>
      <w:pPr>
        <w:spacing w:after="40"/>
      </w:pPr>
      <w:r>
        <w:rPr>
          <w:b/>
        </w:rPr>
        <w:t xml:space="preserve">Sources: </w:t>
      </w:r>
      <w:r>
        <w:t>https://www.classaction.org/settlements (7/2/26 row)</w:t>
      </w:r>
    </w:p>
    <w:p>
      <w:pPr>
        <w:pStyle w:val="Heading2"/>
      </w:pPr>
      <w:r>
        <w:t>Amazon.com (Prime)</w:t>
      </w:r>
    </w:p>
    <w:p>
      <w:pPr>
        <w:spacing w:after="40"/>
      </w:pPr>
      <w:r>
        <w:rPr>
          <w:b/>
        </w:rPr>
        <w:t xml:space="preserve">Settlement: </w:t>
      </w:r>
      <w:r>
        <w:t>FTC dark-patterns enrollment case — consumer redress</w:t>
      </w:r>
    </w:p>
    <w:p>
      <w:pPr>
        <w:spacing w:after="40"/>
      </w:pPr>
      <w:r>
        <w:rPr>
          <w:b/>
        </w:rPr>
        <w:t xml:space="preserve">Fund: </w:t>
      </w:r>
      <w:r>
        <w:t>FTC order</w:t>
      </w:r>
    </w:p>
    <w:p>
      <w:pPr>
        <w:spacing w:after="40"/>
      </w:pPr>
      <w:r>
        <w:rPr>
          <w:b/>
        </w:rPr>
        <w:t xml:space="preserve">Claim deadline: </w:t>
      </w:r>
      <w:r>
        <w:t>2026-07-27</w:t>
      </w:r>
    </w:p>
    <w:p>
      <w:pPr>
        <w:spacing w:after="40"/>
      </w:pPr>
      <w:r>
        <w:rPr>
          <w:b/>
        </w:rPr>
        <w:t xml:space="preserve">Per claimant: </w:t>
      </w:r>
      <w:r>
        <w:t>up to $51</w:t>
      </w:r>
    </w:p>
    <w:p>
      <w:pPr>
        <w:spacing w:after="40"/>
      </w:pPr>
      <w:r>
        <w:rPr>
          <w:b/>
        </w:rPr>
        <w:t xml:space="preserve">Proof required: </w:t>
      </w:r>
      <w:r>
        <w:t>No</w:t>
      </w:r>
    </w:p>
    <w:p>
      <w:pPr>
        <w:spacing w:after="40"/>
      </w:pPr>
      <w:r>
        <w:rPr>
          <w:b/>
        </w:rPr>
        <w:t xml:space="preserve">Class definition: </w:t>
      </w:r>
      <w:r>
        <w:t>Consumers enrolled in Prime via challenged flows (FTC will define; many paid automatically, others claim)</w:t>
      </w:r>
    </w:p>
    <w:p>
      <w:pPr>
        <w:spacing w:after="40"/>
      </w:pPr>
      <w:r>
        <w:rPr>
          <w:b/>
        </w:rPr>
        <w:t xml:space="preserve">Claims URL: </w:t>
      </w:r>
      <w:r>
        <w:t>FTC redress administrator</w:t>
      </w:r>
    </w:p>
    <w:p>
      <w:pPr>
        <w:spacing w:after="40"/>
      </w:pPr>
      <w:r>
        <w:rPr>
          <w:b/>
        </w:rPr>
        <w:t xml:space="preserve">Tier: </w:t>
      </w:r>
      <w:r>
        <w:t>2</w:t>
      </w:r>
    </w:p>
    <w:p>
      <w:pPr>
        <w:spacing w:after="40"/>
      </w:pPr>
      <w:r>
        <w:rPr>
          <w:b/>
        </w:rPr>
        <w:t xml:space="preserve">Data mapping: </w:t>
      </w:r>
      <w:r>
        <w:t>Universal-population play for the email base; no credit-data gate.</w:t>
      </w:r>
    </w:p>
    <w:p>
      <w:pPr>
        <w:spacing w:after="40"/>
      </w:pPr>
      <w:r>
        <w:rPr>
          <w:b/>
        </w:rPr>
        <w:t xml:space="preserve">Sources: </w:t>
      </w:r>
      <w:r>
        <w:t>https://www.classaction.org/settlements (7/27/26 row)</w:t>
      </w:r>
    </w:p>
    <w:p>
      <w:pPr>
        <w:pStyle w:val="Heading1"/>
      </w:pPr>
      <w:r>
        <w:t>Bucket C — Mass Arbitration (Rolling)</w:t>
      </w:r>
    </w:p>
    <w:p>
      <w:pPr>
        <w:pStyle w:val="Heading2"/>
      </w:pPr>
      <w:r>
        <w:t>Exeter Finance, LLC</w:t>
      </w:r>
    </w:p>
    <w:p>
      <w:pPr>
        <w:spacing w:after="40"/>
      </w:pPr>
      <w:r>
        <w:rPr>
          <w:b/>
        </w:rPr>
        <w:t xml:space="preserve">Program: </w:t>
      </w:r>
      <w:r>
        <w:t>Mass arbitration — undisclosed processing/convenience fees</w:t>
      </w:r>
    </w:p>
    <w:p>
      <w:pPr>
        <w:spacing w:after="40"/>
      </w:pPr>
      <w:r>
        <w:rPr>
          <w:b/>
        </w:rPr>
        <w:t xml:space="preserve">Status: </w:t>
      </w:r>
      <w:r>
        <w:t>OPEN rolling sign-up, no deadline</w:t>
      </w:r>
    </w:p>
    <w:p>
      <w:pPr>
        <w:spacing w:after="40"/>
      </w:pPr>
      <w:r>
        <w:rPr>
          <w:b/>
        </w:rPr>
        <w:t xml:space="preserve">Per claimant: </w:t>
      </w:r>
      <w:r>
        <w:t>individual arbitration outcomes vary</w:t>
      </w:r>
    </w:p>
    <w:p>
      <w:pPr>
        <w:spacing w:after="40"/>
      </w:pPr>
      <w:r>
        <w:rPr>
          <w:b/>
        </w:rPr>
        <w:t xml:space="preserve">Tier: </w:t>
      </w:r>
      <w:r>
        <w:t>1</w:t>
      </w:r>
    </w:p>
    <w:p>
      <w:pPr>
        <w:spacing w:after="40"/>
      </w:pPr>
      <w:r>
        <w:rPr>
          <w:b/>
        </w:rPr>
        <w:t xml:space="preserve">Data mapping: </w:t>
      </w:r>
      <w:r>
        <w:t>Exeter auto tradeline directly identifies the relationship. Cohort: 235,993.</w:t>
      </w:r>
    </w:p>
    <w:p>
      <w:pPr>
        <w:spacing w:after="40"/>
      </w:pPr>
      <w:r>
        <w:rPr>
          <w:b/>
        </w:rPr>
        <w:t xml:space="preserve">Sources: </w:t>
      </w:r>
      <w:r>
        <w:t>data/case-intake/case-intake-platforms.xlsx</w:t>
      </w:r>
    </w:p>
    <w:p>
      <w:pPr>
        <w:pStyle w:val="Heading1"/>
      </w:pPr>
      <w:r>
        <w:t>Bucket D — Structural / Recurring Defendants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Defendant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Cohort in file</w:t>
            </w:r>
          </w:p>
        </w:tc>
      </w:tr>
      <w:tr>
        <w:tc>
          <w:tcPr>
            <w:tcW w:type="dxa" w:w="2880"/>
          </w:tcPr>
          <w:p>
            <w:r>
              <w:t>Credit One Bank</w:t>
            </w:r>
          </w:p>
        </w:tc>
        <w:tc>
          <w:tcPr>
            <w:tcW w:type="dxa" w:w="2880"/>
          </w:tcPr>
          <w:p>
            <w:r>
              <w:t>TCPA + FDCPA recurring litigation</w:t>
            </w:r>
          </w:p>
        </w:tc>
        <w:tc>
          <w:tcPr>
            <w:tcW w:type="dxa" w:w="2880"/>
          </w:tcPr>
          <w:p>
            <w:r>
              <w:t>403,156</w:t>
            </w:r>
          </w:p>
        </w:tc>
      </w:tr>
      <w:tr>
        <w:tc>
          <w:tcPr>
            <w:tcW w:type="dxa" w:w="2880"/>
          </w:tcPr>
          <w:p>
            <w:r>
              <w:t>Synchrony Bank</w:t>
            </w:r>
          </w:p>
        </w:tc>
        <w:tc>
          <w:tcPr>
            <w:tcW w:type="dxa" w:w="2880"/>
          </w:tcPr>
          <w:p>
            <w:r>
              <w:t>TCPA autodialer collection calls — repeat defendant</w:t>
            </w:r>
          </w:p>
        </w:tc>
        <w:tc>
          <w:tcPr>
            <w:tcW w:type="dxa" w:w="2880"/>
          </w:tcPr>
          <w:p>
            <w:r>
              <w:t>549,694</w:t>
            </w:r>
          </w:p>
        </w:tc>
      </w:tr>
      <w:tr>
        <w:tc>
          <w:tcPr>
            <w:tcW w:type="dxa" w:w="2880"/>
          </w:tcPr>
          <w:p>
            <w:r>
              <w:t>Wells Fargo</w:t>
            </w:r>
          </w:p>
        </w:tc>
        <w:tc>
          <w:tcPr>
            <w:tcW w:type="dxa" w:w="2880"/>
          </w:tcPr>
          <w:p>
            <w:r>
              <w:t>TCPA collection robocalls — repeat defendant</w:t>
            </w:r>
          </w:p>
        </w:tc>
        <w:tc>
          <w:tcPr>
            <w:tcW w:type="dxa" w:w="2880"/>
          </w:tcPr>
          <w:p>
            <w:r>
              <w:t>392,187</w:t>
            </w:r>
          </w:p>
        </w:tc>
      </w:tr>
      <w:tr>
        <w:tc>
          <w:tcPr>
            <w:tcW w:type="dxa" w:w="2880"/>
          </w:tcPr>
          <w:p>
            <w:r>
              <w:t>Santander Consumer USA</w:t>
            </w:r>
          </w:p>
        </w:tc>
        <w:tc>
          <w:tcPr>
            <w:tcW w:type="dxa" w:w="2880"/>
          </w:tcPr>
          <w:p>
            <w:r>
              <w:t>Subprime auto — multistate AG settlements, repossession practices</w:t>
            </w:r>
          </w:p>
        </w:tc>
        <w:tc>
          <w:tcPr>
            <w:tcW w:type="dxa" w:w="2880"/>
          </w:tcPr>
          <w:p>
            <w:r>
              <w:t>556,939</w:t>
            </w:r>
          </w:p>
        </w:tc>
      </w:tr>
      <w:tr>
        <w:tc>
          <w:tcPr>
            <w:tcW w:type="dxa" w:w="2880"/>
          </w:tcPr>
          <w:p>
            <w:r>
              <w:t>Westlake Financial</w:t>
            </w:r>
          </w:p>
        </w:tc>
        <w:tc>
          <w:tcPr>
            <w:tcW w:type="dxa" w:w="2880"/>
          </w:tcPr>
          <w:p>
            <w:r>
              <w:t>FDCPA/repossession — Klare settlement closed 2026-05-18 but recurring</w:t>
            </w:r>
          </w:p>
        </w:tc>
        <w:tc>
          <w:tcPr>
            <w:tcW w:type="dxa" w:w="2880"/>
          </w:tcPr>
          <w:p>
            <w:r>
              <w:t>200,689</w:t>
            </w:r>
          </w:p>
        </w:tc>
      </w:tr>
      <w:tr>
        <w:tc>
          <w:tcPr>
            <w:tcW w:type="dxa" w:w="2880"/>
          </w:tcPr>
          <w:p>
            <w:r>
              <w:t>Midland Credit Management</w:t>
            </w:r>
          </w:p>
        </w:tc>
        <w:tc>
          <w:tcPr>
            <w:tcW w:type="dxa" w:w="2880"/>
          </w:tcPr>
          <w:p>
            <w:r>
              <w:t>FDCPA — perennial defendant; Leedeman CA automatic</w:t>
            </w:r>
          </w:p>
        </w:tc>
        <w:tc>
          <w:tcPr>
            <w:tcW w:type="dxa" w:w="2880"/>
          </w:tcPr>
          <w:p>
            <w:r>
              <w:t>241,303</w:t>
            </w:r>
          </w:p>
        </w:tc>
      </w:tr>
      <w:tr>
        <w:tc>
          <w:tcPr>
            <w:tcW w:type="dxa" w:w="2880"/>
          </w:tcPr>
          <w:p>
            <w:r>
              <w:t>Navient</w:t>
            </w:r>
          </w:p>
        </w:tc>
        <w:tc>
          <w:tcPr>
            <w:tcW w:type="dxa" w:w="2880"/>
          </w:tcPr>
          <w:p>
            <w:r>
              <w:t>Servicer misconduct — CFPB redress paying now; state cases recurring</w:t>
            </w:r>
          </w:p>
        </w:tc>
        <w:tc>
          <w:tcPr>
            <w:tcW w:type="dxa" w:w="2880"/>
          </w:tcPr>
          <w:p>
            <w:r>
              <w:t>451,340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