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Settlement Recovery Sizing — Credit.com / Lexington Law Base</w:t>
      </w:r>
    </w:p>
    <w:p>
      <w:r>
        <w:rPr>
          <w:b w:val="0"/>
        </w:rPr>
        <w:t xml:space="preserve">Working draft for the credit.com report, 2026-06-10. All cohort counts are measured against the corrected (rederive v2) data — either the production casepeople sharded index or direct creditor-pattern scans of cr_db (135.9M LEX + 18.4M CCOM tradelines). Counts are </w:t>
      </w:r>
      <w:r>
        <w:rPr>
          <w:b/>
        </w:rPr>
        <w:t>matchable ceilings</w:t>
      </w:r>
      <w:r>
        <w:rPr>
          <w:b w:val="0"/>
        </w:rPr>
        <w:t xml:space="preserve"> (people with the qualifying creditor relationship), not confirmed class members; each class definition narrows by date window, product, state, or an event (call received, breach notice, theft) per the tier label.</w:t>
      </w:r>
    </w:p>
    <w:p>
      <w:r>
        <w:rPr>
          <w:b w:val="0"/>
        </w:rPr>
        <w:t>Tier 1 = our fields directly satisfy the class-definition elements. Tier 2 = our fields establish the plausible pool; the gating fact needs attestation or an administrator/defendant-records match.</w:t>
      </w:r>
    </w:p>
    <w:p>
      <w:pPr>
        <w:pStyle w:val="Heading1"/>
      </w:pPr>
      <w:r>
        <w:t>Bucket A — already settled, frictionless path to payment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Defendant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Case / fund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Pay mechanics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Cohort in file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Report angle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Capital One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360 Savings interest, $425M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Automatic, checks/electronic ~Jul 21 2026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1,712,966 (any Cap One relationship; deposit accounts invisible to credit data)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Tell members: payment comes automatically; verify address. Outreach = service touch, zero filing cost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Navient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CFPB redress, $120M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Checks mailing since Feb 13 2026, no claim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451,340 (servicer tradelines)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Same — address-currency campaign to a directly identified cohort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Bank of America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7-Eleven/FCTI ATM fees, $2.25M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Current customers auto-credited; former must file by 6/29/26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333,611 (BofA relationship)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Event (double balance-inquiry fee 2018-2021) not in file; alert + simple attestation claim for former customers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Midland Credit Mgmt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Leedeman (CA), automatic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No claim form; optional digital-pay election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241,303 national; CA subset ≈ 9% of file → ~22K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CA members with MCM collections get paid without acting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National Credit Adjusters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Blackburn (VA)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Automatic debt cancellation + tradeline deletion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NCA collections cohort (indexed) ∩ VA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Relief shows up on the credit report itself — natural credit.com story</w:t>
            </w:r>
          </w:p>
        </w:tc>
      </w:tr>
    </w:tbl>
    <w:p/>
    <w:p>
      <w:r>
        <w:rPr>
          <w:b w:val="0"/>
        </w:rPr>
        <w:t xml:space="preserve">Bucket A summary for the report: roughly </w:t>
      </w:r>
      <w:r>
        <w:rPr>
          <w:b/>
        </w:rPr>
        <w:t>2.7M+ people in the file hold a relationship with a defendant whose settlement is paying out with no claim form</w:t>
      </w:r>
      <w:r>
        <w:rPr>
          <w:b w:val="0"/>
        </w:rPr>
        <w:t>. The product here is awareness + address verification, not intake.</w:t>
      </w:r>
    </w:p>
    <w:p>
      <w:pPr>
        <w:pStyle w:val="Heading1"/>
      </w:pPr>
      <w:r>
        <w:t>Bucket B — open claim window, filing workflow we run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Defendant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Fund / per-claimant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Deadline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Cohort ceiling (measured)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PHH (Munoz, RESPA captive-reinsurance)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$875/loan fixed, no pro-rata cut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2026-08-11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4,180 LEX + 1,624 CCOM with PHH mortgage opened 2007-2009</w:t>
            </w:r>
            <w:r>
              <w:rPr>
                <w:b w:val="0"/>
                <w:sz w:val="18"/>
              </w:rPr>
              <w:t xml:space="preserve"> (29.7K LEX + 14.6K CCOM any vintage)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Cleanest case in the sweep: ~$5.1M claim ceiling; captive-reinsurance element confirmed by administrator list. Highest priority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Flagstar (2021 breaches, $31.5M)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~$60 base up to $599; $25K documented; +$100 CA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2026-08-11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24,158 LEX + 14,260 CCOM Flagstar tradelines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Claim ID from notice required — workflow includes administrator lookup. ~38K pool vs 2.19M class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Comcast/Xfinity (2023 breach, $117.5M)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$50 base; $10K documented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2026-08-14 (poss. 9/14)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Creditor match negligible (5.5K); play = national incidence ~31.6M/260M adults ≈ 12% of any base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Email-base campaign with attestation; Kroll admin, no-proof base tier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Hyundai/Kia theft (multistate $4.5M + $9M)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$375–$4,500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2027-03-31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44,385+15,530 Hyundai; 54,466+15,386 Kia finance relationships (~130K gross)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Needs 2011-2022 turn-key model + theft/attempt after 4/29/25 (police/insurance docs). Long window — durable pipeline item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Hy Cite / Royal Prestige TCPA ($4.75M)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$600–$1,000 est. per claimant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2026-07-08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No creditor signal (non-customer class) — phone-number base enables admin dialer matching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Highest per-claimant cash in the sweep; pure attestation claim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LastPass (2022 incident, $24.45M)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$25–$10,400 (+crypto pool)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2026-07-02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No credit-data signal; email-base play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Notice-gated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Genesis/Concora (Ford, MD)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varies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2026-06-29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milestone genesis cohort ∩ MD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Mailed PIN required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Athena Bitcoin TCPA ($4.5M)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share of fund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2026-06-30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Phone-base play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Class Member ID gated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Amazon Prime FTC redress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up to $51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2026-07-27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Universal email-base play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No-proof claim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Lakeview Loan Servicing ($26M)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pro rata + $5K documented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2026-06-22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~200 — name collisions only; subservices via LoanCare so not a reporting creditor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Deprioritize: tiny window, no matchable signal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Register.com TCPA (~$2,130/number)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~$2,130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2026-06-15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Reassigned-number class — would need phone-number xref vs FCC RND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5 days out; skip unless trivial</w:t>
            </w:r>
          </w:p>
        </w:tc>
      </w:tr>
    </w:tbl>
    <w:p/>
    <w:p>
      <w:pPr>
        <w:pStyle w:val="Heading1"/>
      </w:pPr>
      <w:r>
        <w:t>Bucket C — mass arbitration (rolling)</w:t>
      </w:r>
    </w:p>
    <w:p>
      <w:r>
        <w:rPr>
          <w:b w:val="0"/>
        </w:rPr>
        <w:t>Exeter Finance: 235,993 people with Exeter auto tradelines (Tier 1 relationship match); undisclosed-fee theories pursued per person, no deadline.</w:t>
      </w:r>
    </w:p>
    <w:p>
      <w:pPr>
        <w:pStyle w:val="Heading1"/>
      </w:pPr>
      <w:r>
        <w:t>Bucket D — structural / recurring defendants (origination, not settlement-chasing)</w:t>
      </w:r>
    </w:p>
    <w:p>
      <w:r>
        <w:rPr>
          <w:b w:val="0"/>
        </w:rPr>
        <w:t>Corrected v2 cohorts (replaces the inflated numbers in the earlier HTML draft, which came from the pre-audit data and must not be reused):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Defendant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 cohort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Old HTML figure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Capital One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1,712,966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all case types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Santander Consumer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556,939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subprime auto / repo practices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Synchrony Bank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549,694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1,760,880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TCPA collection calls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Navient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451,340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493,042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servicer misconduct + TCPA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Credit One Bank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403,156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1,340,202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TCPA + FDCPA recurring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Wells Fargo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392,187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801,003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TCPA collection robocalls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Bank of America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333,611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fees / TCPA history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Midland Credit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241,303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~250,000 (w/ ERC)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FDCPA perennial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Exeter Finance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235,993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mass arb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Westlake Financial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200,689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FDCPA/repo (Klare closed 5/18/26)</w:t>
            </w:r>
          </w:p>
        </w:tc>
      </w:tr>
    </w:tbl>
    <w:p/>
    <w:p>
      <w:pPr>
        <w:pStyle w:val="Heading1"/>
      </w:pPr>
      <w:r>
        <w:t>Honest-numbers funnel (carry into the report)</w:t>
      </w:r>
    </w:p>
    <w:p>
      <w:r>
        <w:rPr>
          <w:b w:val="0"/>
        </w:rPr>
        <w:t>Ceiling (creditor relationship) → contactable (99% LEX have phone/email + consent, minus ~800K DNC and ~200K email opt-outs) → class-window fit (dates/state/product) → gating event (call/notice/theft, Tier 2 only) → filed claim. Size the channel on screened conversion, not the ceiling. The CCOM book (1.4M, currently open customers, consent + phone-auth flags) is the live outreach channel; the LEX book (8.85M, 98.5% closed accounts) is reach with consent timestamps but needs suppression-list scrubbing and a re-permission pass for anything telemarketing-shaped — note the PGX entities' 10-year telemarketing-credit-repair ban context when designing outreach.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