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A36BB2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A36BB2">
        <w:rPr>
          <w:rFonts w:ascii="Times New Roman" w:hAnsi="Times New Roman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442073" w:rsidRDefault="00E831E6" w:rsidP="00442073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442073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</w:p>
    <w:p w:rsidR="00E831E6" w:rsidRPr="0097412C" w:rsidRDefault="00E831E6" w:rsidP="00442073">
      <w:pPr>
        <w:spacing w:after="0" w:line="240" w:lineRule="auto"/>
        <w:ind w:left="708"/>
        <w:rPr>
          <w:rFonts w:ascii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="00444917">
        <w:rPr>
          <w:rFonts w:ascii="Times New Roman" w:hAnsi="Times New Roman"/>
          <w:sz w:val="24"/>
          <w:szCs w:val="24"/>
          <w:lang w:eastAsia="ru-RU"/>
        </w:rPr>
        <w:t xml:space="preserve"> Относится к обязательным дисциплинам</w:t>
      </w:r>
      <w:r>
        <w:rPr>
          <w:rFonts w:ascii="Times New Roman" w:hAnsi="Times New Roman"/>
          <w:sz w:val="24"/>
          <w:szCs w:val="24"/>
          <w:lang w:eastAsia="ru-RU"/>
        </w:rPr>
        <w:t>(Б1.В.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>
        <w:rPr>
          <w:rFonts w:ascii="Times New Roman" w:hAnsi="Times New Roman"/>
          <w:sz w:val="24"/>
          <w:szCs w:val="24"/>
          <w:lang w:eastAsia="ru-RU"/>
        </w:rPr>
        <w:t xml:space="preserve">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ОД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444917">
        <w:rPr>
          <w:rFonts w:ascii="Times New Roman" w:hAnsi="Times New Roman"/>
          <w:sz w:val="24"/>
          <w:szCs w:val="24"/>
          <w:lang w:eastAsia="ru-RU"/>
        </w:rPr>
        <w:t>9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444917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444917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444917" w:rsidRDefault="00444917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444917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444917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444917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01DC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2073"/>
    <w:rsid w:val="00444917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B18B6"/>
    <w:rsid w:val="008F348C"/>
    <w:rsid w:val="008F5B85"/>
    <w:rsid w:val="009012B4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36BB2"/>
    <w:rsid w:val="00A47932"/>
    <w:rsid w:val="00A7028E"/>
    <w:rsid w:val="00A73755"/>
    <w:rsid w:val="00A743F0"/>
    <w:rsid w:val="00A91EDB"/>
    <w:rsid w:val="00A92273"/>
    <w:rsid w:val="00AB30F3"/>
    <w:rsid w:val="00AB32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365B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4FC7B855-8762-4288-9B86-216D9058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2017-01-30T10:01:00Z</dcterms:created>
  <dcterms:modified xsi:type="dcterms:W3CDTF">2017-01-31T10:53:00Z</dcterms:modified>
</cp:coreProperties>
</file>