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Программное обеспечение средств 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вычислительной техники и автоматизированных систем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>Кафедра прикладной математики и кибернетики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дисциплинам по выбору (Б1.В.ДВ).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ДВ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3.1.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Default="00E831E6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F5130">
        <w:rPr>
          <w:rFonts w:ascii="Times New Roman" w:hAnsi="Times New Roman"/>
          <w:b/>
          <w:color w:val="000000"/>
          <w:sz w:val="24"/>
          <w:szCs w:val="24"/>
        </w:rPr>
        <w:t>Виды учебных занятий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: лекции (ЛК), практические (семинарские) занятия </w:t>
      </w:r>
      <w:r>
        <w:rPr>
          <w:rFonts w:ascii="Times New Roman" w:hAnsi="Times New Roman"/>
          <w:color w:val="000000"/>
          <w:sz w:val="24"/>
          <w:szCs w:val="24"/>
        </w:rPr>
        <w:t xml:space="preserve">(ПЗ), лабораторная работа (ЛР), 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индивидуальные (групповые) консультации (К), самостоятельная работа студентов (СРС) по выполнению различных видов заданий. </w:t>
      </w:r>
    </w:p>
    <w:p w:rsidR="00E831E6" w:rsidRPr="00EF5130" w:rsidRDefault="00E831E6" w:rsidP="00EF5130">
      <w:pPr>
        <w:spacing w:before="240" w:after="24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EF5130">
        <w:rPr>
          <w:rFonts w:ascii="Times New Roman" w:hAnsi="Times New Roman"/>
          <w:b/>
          <w:color w:val="000000"/>
          <w:sz w:val="24"/>
          <w:szCs w:val="24"/>
        </w:rPr>
        <w:t>Интерактивные образовательные методы и технологии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: деловые игры, дискуссии, дидактические игры, анализ конкретных ситуаций, мозговой штурм, предметная олимпиада, проблемная лекция, пресс-конференция и другие методы, применяемые при реализации </w:t>
      </w:r>
      <w:r w:rsidRPr="00EF5130">
        <w:rPr>
          <w:rFonts w:ascii="Times New Roman" w:hAnsi="Times New Roman"/>
          <w:sz w:val="24"/>
          <w:szCs w:val="24"/>
        </w:rPr>
        <w:t>вычисления алгоритмов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3627"/>
        <w:gridCol w:w="992"/>
        <w:gridCol w:w="1276"/>
        <w:gridCol w:w="2835"/>
      </w:tblGrid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Объем в часах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Вид учебных занятий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Используемые интерактивные методы и технологии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Основные понятия курса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Методы решения СЛАУ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trHeight w:val="1050"/>
        </w:trPr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6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Методы решения нелинейных уравнений (НУ) и систем нелинейных уравнений (СНУ)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,ЛР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Интерполяция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,ЛР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Численные методы решения дифференциальных уравнений и систем дифференциальных уравнений (ДУ и СДУ)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Аппроксимация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trHeight w:val="1012"/>
        </w:trPr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 xml:space="preserve">Нелинейная оптимизация. </w:t>
            </w:r>
          </w:p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Метод градиента (метод наискорейшего спуска)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Метод Монте-Карло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gridAfter w:val="2"/>
          <w:wAfter w:w="4111" w:type="dxa"/>
        </w:trPr>
        <w:tc>
          <w:tcPr>
            <w:tcW w:w="4248" w:type="dxa"/>
            <w:gridSpan w:val="2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  <w:t>ВСЕГО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3</w:t>
            </w:r>
            <w:r w:rsidRPr="00C101E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E831E6" w:rsidRPr="00EF5130" w:rsidRDefault="00E831E6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«IPRbook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Пантина И.В. Вычислительная математика [Электронный ресурс]: учебник/ Пантина И.В., Синчуков А.В.— Электрон. текстовые данные.— М.: Московский финансово-промышленный университет «Синергия», 2012.— 176 c.— Режим доступа: http://www.iprbookshop.ru/17012.— ЭБС «IPRbooks»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«IPRbooks»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 И.Н. Численные методы [Электронный ресурс]: учебное пособие/ Мастяева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«IPRbooks»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Рычков А.Д.— Электрон. текстовые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bookmarkStart w:id="0" w:name="_GoBack"/>
      <w:bookmarkEnd w:id="0"/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lastRenderedPageBreak/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lastRenderedPageBreak/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90F13"/>
    <w:rsid w:val="003B6ECE"/>
    <w:rsid w:val="003C775C"/>
    <w:rsid w:val="003D39F5"/>
    <w:rsid w:val="003D47AE"/>
    <w:rsid w:val="003E5B1E"/>
    <w:rsid w:val="003E737F"/>
    <w:rsid w:val="00400F18"/>
    <w:rsid w:val="00415FA1"/>
    <w:rsid w:val="0042189A"/>
    <w:rsid w:val="004243C6"/>
    <w:rsid w:val="00433BDD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1738</Words>
  <Characters>9912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ruban</cp:lastModifiedBy>
  <cp:revision>2</cp:revision>
  <cp:lastPrinted>2017-01-28T07:26:00Z</cp:lastPrinted>
  <dcterms:created xsi:type="dcterms:W3CDTF">2017-01-30T09:19:00Z</dcterms:created>
  <dcterms:modified xsi:type="dcterms:W3CDTF">2017-01-30T09:19:00Z</dcterms:modified>
</cp:coreProperties>
</file>