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MANUAL DE USO </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PROGRAMA CUANTIFICADORES </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Al iniciar el programa se mostrarán las opciones principales:</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Teoria</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Ejemplos</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Ejercicos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Para ingresar a una de estas secciones se ingresa el número y se pulsa enter. Se puede salir del programa utilizando 4 en este menu principal.</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Opción 1 Teoría:</w:t>
      </w:r>
    </w:p>
    <w:p w:rsidR="00000000" w:rsidDel="00000000" w:rsidP="00000000" w:rsidRDefault="00000000" w:rsidRPr="00000000">
      <w:pPr>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Aqui se mostrara informacion teórica acerca de cuantificadores tanto existenciales como universales, para volver al menú principal se debe oprimir cualquier tecla.</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Opción 2 Ejemplos:</w:t>
      </w:r>
    </w:p>
    <w:p w:rsidR="00000000" w:rsidDel="00000000" w:rsidP="00000000" w:rsidRDefault="00000000" w:rsidRPr="00000000">
      <w:pPr>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Aquí se desplegará otras tres opciones, la primera siendo para acceder a un ejemplo de cuantificadores universales, y la segunda para cuantificadores existenciales. Igual a como se hizo anteriormente, se debe ingresar el número de la opción que se desea y pulsar enter. Se puede regresar al menú principal con la opción 3.</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Opción 3 Ejercicios:</w:t>
      </w:r>
    </w:p>
    <w:p w:rsidR="00000000" w:rsidDel="00000000" w:rsidP="00000000" w:rsidRDefault="00000000" w:rsidRPr="00000000">
      <w:pPr>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Aquí se podrán seleccionar de 5 opciones con diferentes ejercicios que al ser elegidos el programa pedirá evaluar su valor de verdad. Para introducir una respuesta escriba V o v para responder verdadero o escriba F o f para responder falso. Cualquier otro carácter se considerará inválido. Al ingresar una respuesta el programa te indicará si su respuesta es correcta, de lo contrario te marcará incorrecto junto una breve explicación. Para salir de esta sección escriba 0 y enter.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