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Discretization Strategies for High-Fidelity Voxel MPM: Resolving Stacking and Phase Artifacts on the Body-Centered Cubic (BCC) Lattice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simulation of granular and fluid materials within discrete voxel environments presents a unique intersection of continuum mechanics and cellular automata. While the Material Point Method (MPM) has established itself as the gold standard for hybrid Lagrangian-Eulerian simulation of elastoplastic materials, its application within the strict constraints of a "single-occupancy" voxel grid—where each cell holds exactly one particle—introduces severe numerical artifacts. The most prominent of these are artificial compressibility, manifesting as "water stacking," and incoherent phase interactions between sand and water. Furthermore, the adoption of a Body-Centered Cubic (BCC) lattice, while geometrically superior for isotropy, necessitates the derivation of specialized discrete operators that differ significantly from standard Cartesian implementations.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 comprehensive theoretical and practical framework for resolving these artifacts. By abandoning the traditional Weakly Compressible MPM (WCMPM) equation of state in favor of a divergence-free pressure projection adapted for the BCC 14-neighbor stencil, we can enforce incompressibility without sub-step iteration. Additionally, we address the phase interaction problem by integrating continuum mixture theory into the discrete transport logic, allowing for momentum exchange and saturation-dependent liquefaction even within a quantized particle system. The analysis draws upon recent advancements in sparse grid fluid simulation, discrete element methods, and computational geometry to propose a robust solver architecture suitable for high-performance implementation.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Computational Geometry of the Body-Centered Cubic (BCC) Lattice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choice of a BCC lattice (</w:t>
      </w:r>
      <w:r w:rsidDel="00000000" w:rsidR="00000000" w:rsidRPr="00000000">
        <w:rPr>
          <w:rFonts w:ascii="Google Sans Text" w:cs="Google Sans Text" w:eastAsia="Google Sans Text" w:hAnsi="Google Sans Text"/>
          <w:color w:val="1f1f1f"/>
        </w:rPr>
        <w:drawing>
          <wp:inline distB="19050" distT="19050" distL="19050" distR="19050">
            <wp:extent cx="231502" cy="231502"/>
            <wp:effectExtent b="0" l="0" r="0" t="0"/>
            <wp:docPr id="31"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231502" cy="23150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over the standard Cartesian (Simple Cubic, SC) grid is not merely an aesthetic decision but a fundamental geometric optimization for fluid dynamics. Understanding the topology of the BCC lattice is a prerequisite for deriving the correct differential operators required for the pressure solver.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Lattice Topology and Connectivity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BCC lattice is defined as a sub-lattice of the integer grid </w:t>
      </w:r>
      <w:r w:rsidDel="00000000" w:rsidR="00000000" w:rsidRPr="00000000">
        <w:rPr>
          <w:rFonts w:ascii="Google Sans Text" w:cs="Google Sans Text" w:eastAsia="Google Sans Text" w:hAnsi="Google Sans Text"/>
          <w:color w:val="1f1f1f"/>
        </w:rPr>
        <w:drawing>
          <wp:inline distB="19050" distT="19050" distL="19050" distR="19050">
            <wp:extent cx="196750" cy="224857"/>
            <wp:effectExtent b="0" l="0" r="0" t="0"/>
            <wp:docPr id="33"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196750" cy="22485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consisting of points </w:t>
      </w:r>
      <w:r w:rsidDel="00000000" w:rsidR="00000000" w:rsidRPr="00000000">
        <w:rPr>
          <w:rFonts w:ascii="Google Sans Text" w:cs="Google Sans Text" w:eastAsia="Google Sans Text" w:hAnsi="Google Sans Text"/>
          <w:color w:val="1f1f1f"/>
        </w:rPr>
        <w:drawing>
          <wp:inline distB="19050" distT="19050" distL="19050" distR="19050">
            <wp:extent cx="603870" cy="230046"/>
            <wp:effectExtent b="0" l="0" r="0" t="0"/>
            <wp:docPr id="32"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603870" cy="23004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such that </w:t>
      </w:r>
      <w:r w:rsidDel="00000000" w:rsidR="00000000" w:rsidRPr="00000000">
        <w:rPr>
          <w:rFonts w:ascii="Google Sans Text" w:cs="Google Sans Text" w:eastAsia="Google Sans Text" w:hAnsi="Google Sans Text"/>
          <w:color w:val="1f1f1f"/>
        </w:rPr>
        <w:drawing>
          <wp:inline distB="19050" distT="19050" distL="19050" distR="19050">
            <wp:extent cx="460399" cy="230200"/>
            <wp:effectExtent b="0" l="0" r="0" t="0"/>
            <wp:docPr id="35"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460399" cy="23020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are all congruent modulo 2. Alternatively, it can be visualized as two interleaved Cartesian grids. This structure fundamentally alters the neighborhood connectivity compared to a standard voxel grid. While a Cartesian voxel interacts primarily with its 6 face-neighbors, a node in a BCC lattice possesses a coordination number of 14, interacting with two distinct shells of neighbors.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4524375"/>
            <wp:effectExtent b="0" l="0" r="0" t="0"/>
            <wp:docPr id="34"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590550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first shell consists of 8 nearest neighbors located at the vertices of the containing cube, at distance </w:t>
      </w:r>
      <w:r w:rsidDel="00000000" w:rsidR="00000000" w:rsidRPr="00000000">
        <w:rPr>
          <w:rFonts w:ascii="Google Sans Text" w:cs="Google Sans Text" w:eastAsia="Google Sans Text" w:hAnsi="Google Sans Text"/>
          <w:color w:val="1f1f1f"/>
        </w:rPr>
        <w:drawing>
          <wp:inline distB="19050" distT="19050" distL="19050" distR="19050">
            <wp:extent cx="661392" cy="230049"/>
            <wp:effectExtent b="0" l="0" r="0" t="0"/>
            <wp:docPr id="38"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661392" cy="23004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in lattice units. The second shell consists of 6 next-nearest neighbors located at the centers of the adjacent cubic faces, at distance </w:t>
      </w:r>
      <w:r w:rsidDel="00000000" w:rsidR="00000000" w:rsidRPr="00000000">
        <w:rPr>
          <w:rFonts w:ascii="Google Sans Text" w:cs="Google Sans Text" w:eastAsia="Google Sans Text" w:hAnsi="Google Sans Text"/>
          <w:color w:val="1f1f1f"/>
        </w:rPr>
        <w:drawing>
          <wp:inline distB="19050" distT="19050" distL="19050" distR="19050">
            <wp:extent cx="507802" cy="229948"/>
            <wp:effectExtent b="0" l="0" r="0" t="0"/>
            <wp:docPr id="37"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07802" cy="22994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The Voronoi cell of the BCC lattice is the rhombic dodecahedron.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polyhedron approximates a sphere significantly better than the cube of the Cartesian grid, reducing the geometric anisotropy of the grid. In fluid simulations, this isotropy is critical; it prevents the "Manhattan distance" bias where fluids flow preferentially along the cardinal axes. Research indicates that the BCC lattice requires approximately 30% fewer samples to reconstruct a signal with the same fidelity as a Cartesian grid, offering a distinct efficiency advantage for volumetric data.</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Interpolation Kernels: Box Splines vs. Barycentric Tetrahedra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component of MPM is the transfer of mass and momentum between particles (Lagrangian) and grid nodes (Eulerian). On a BCC lattice, this transfer can be handled via two primary methods: tetrahedral decomposition or box spline interpolation.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tetrahedral approach involves tessellating the BCC lattice into tetrahedra (typically 24 per unit cell) and using barycentric coordinates for interpolation. While computationally simple, this method introduces </w:t>
      </w:r>
      <w:r w:rsidDel="00000000" w:rsidR="00000000" w:rsidRPr="00000000">
        <w:rPr>
          <w:rFonts w:ascii="Google Sans Text" w:cs="Google Sans Text" w:eastAsia="Google Sans Text" w:hAnsi="Google Sans Text"/>
          <w:color w:val="1f1f1f"/>
        </w:rPr>
        <w:drawing>
          <wp:inline distB="19050" distT="19050" distL="19050" distR="19050">
            <wp:extent cx="218778" cy="228290"/>
            <wp:effectExtent b="0" l="0" r="0" t="0"/>
            <wp:docPr id="43"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218778" cy="22829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continuity (linear interpolation), which can lead to "grid crossing" artifacts where forces fluctuate discontinuously as a particle crosses element boundaries.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is particularly detrimental in a single-occupancy simulation, as the lack of neighbor averaging exacerbates the noise.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superior alternative for high-fidelity fluid simulation is the use of </w:t>
      </w:r>
      <w:r w:rsidDel="00000000" w:rsidR="00000000" w:rsidRPr="00000000">
        <w:rPr>
          <w:rFonts w:ascii="Google Sans Text" w:cs="Google Sans Text" w:eastAsia="Google Sans Text" w:hAnsi="Google Sans Text"/>
          <w:b w:val="1"/>
          <w:bCs w:val="1"/>
          <w:color w:val="1f1f1f"/>
          <w:rtl w:val="0"/>
        </w:rPr>
        <w:t xml:space="preserve">Linear Box Splines</w:t>
      </w:r>
      <w:r w:rsidDel="00000000" w:rsidR="00000000" w:rsidRPr="00000000">
        <w:rPr>
          <w:rFonts w:ascii="Google Sans Text" w:cs="Google Sans Text" w:eastAsia="Google Sans Text" w:hAnsi="Google Sans Text"/>
          <w:color w:val="1f1f1f"/>
          <w:rtl w:val="0"/>
        </w:rPr>
        <w:t xml:space="preserve">. The linear box spline on a BCC lattice is derived from the projection of a 4D hypercube (tesseract) onto 3D space along the antipodal axis.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Unlike the tensor-product B-splines used in Cartesian MPM, the BCC box spline is non-separable but can be evaluated efficiently. It provides a smoother approximation that respects the 14-neighbor symmetry of the lattice. For gradient calculations—essential for the pressure solve—the box spline provides a more consistent stencil than the tetrahedral derivative, which varies depending on the orientation of the tetrahedron containing the particle.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using the box spline basis functions, we ensure that the transfer of velocity from the single particle to the surrounding 14 grid nodes is smooth and isotropic, dampening the "ringing" artifacts often associated with explicit grid transfers.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Resolving Water Stacking via Discrete Pressure Projection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"stacking" artifact described—where fluid voxels pile up vertically under gravity rather than spreading laterally—is a symptom of artificial compressibility exacerbated by the single-occupancy constraint. In standard Weakly Compressible MPM (WCMPM), pressure is computed via an Equation of State (EOS), typically Tait's equation or a stiff ideal gas law: </w:t>
      </w:r>
      <w:r w:rsidDel="00000000" w:rsidR="00000000" w:rsidRPr="00000000">
        <w:rPr>
          <w:rFonts w:ascii="Google Sans Text" w:cs="Google Sans Text" w:eastAsia="Google Sans Text" w:hAnsi="Google Sans Text"/>
          <w:color w:val="1f1f1f"/>
        </w:rPr>
        <w:drawing>
          <wp:inline distB="19050" distT="19050" distL="19050" distR="19050">
            <wp:extent cx="1536354" cy="229022"/>
            <wp:effectExtent b="0" l="0" r="0" t="0"/>
            <wp:docPr id="41"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1536354" cy="22902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In a single-occupancy grid, the density </w:t>
      </w:r>
      <w:r w:rsidDel="00000000" w:rsidR="00000000" w:rsidRPr="00000000">
        <w:rPr>
          <w:rFonts w:ascii="Google Sans Text" w:cs="Google Sans Text" w:eastAsia="Google Sans Text" w:hAnsi="Google Sans Text"/>
          <w:color w:val="1f1f1f"/>
        </w:rPr>
        <w:drawing>
          <wp:inline distB="19050" distT="19050" distL="19050" distR="19050">
            <wp:extent cx="95399" cy="228957"/>
            <wp:effectExtent b="0" l="0" r="0" t="0"/>
            <wp:docPr id="47"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95399" cy="22895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effectively clamped (either 0 or 1). There is no intermediate density to drive the pressure gradient until the particles physically overlap, which the single-occupancy rule forbids. Consequently, the pressure term fails to generate the lateral gradient required to push the column of water sideways.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resolve this, we must replace the EOS-based update with a </w:t>
      </w:r>
      <w:r w:rsidDel="00000000" w:rsidR="00000000" w:rsidRPr="00000000">
        <w:rPr>
          <w:rFonts w:ascii="Google Sans Text" w:cs="Google Sans Text" w:eastAsia="Google Sans Text" w:hAnsi="Google Sans Text"/>
          <w:b w:val="1"/>
          <w:bCs w:val="1"/>
          <w:color w:val="1f1f1f"/>
          <w:rtl w:val="0"/>
        </w:rPr>
        <w:t xml:space="preserve">Projection Method</w:t>
      </w:r>
      <w:r w:rsidDel="00000000" w:rsidR="00000000" w:rsidRPr="00000000">
        <w:rPr>
          <w:rFonts w:ascii="Google Sans Text" w:cs="Google Sans Text" w:eastAsia="Google Sans Text" w:hAnsi="Google Sans Text"/>
          <w:color w:val="1f1f1f"/>
          <w:rtl w:val="0"/>
        </w:rPr>
        <w:t xml:space="preserve"> that enforces a divergence-free velocity field (</w:t>
      </w:r>
      <w:r w:rsidDel="00000000" w:rsidR="00000000" w:rsidRPr="00000000">
        <w:rPr>
          <w:rFonts w:ascii="Google Sans Text" w:cs="Google Sans Text" w:eastAsia="Google Sans Text" w:hAnsi="Google Sans Text"/>
          <w:color w:val="1f1f1f"/>
        </w:rPr>
        <w:drawing>
          <wp:inline distB="19050" distT="19050" distL="19050" distR="19050">
            <wp:extent cx="742801" cy="228554"/>
            <wp:effectExtent b="0" l="0" r="0" t="0"/>
            <wp:docPr id="44"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742801" cy="22855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This ensures that even if density is clamped, the velocity field "knows" it cannot converge into a full cell and must divert tangentially.</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Split-Step Hybrid Scheme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propose a fractional-step algorithm tailored to the hybrid MPM-CA (Cellular Automata) nature of the simulation. This process integrates the Eulerian pressure solve into the standard MPM cycle to correct the velocity field before the discrete advection step.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simulation cycle begins with the standard transfer of particle data to the grid. Mass </w:t>
      </w:r>
      <w:r w:rsidDel="00000000" w:rsidR="00000000" w:rsidRPr="00000000">
        <w:rPr>
          <w:rFonts w:ascii="Google Sans Text" w:cs="Google Sans Text" w:eastAsia="Google Sans Text" w:hAnsi="Google Sans Text"/>
          <w:color w:val="1f1f1f"/>
        </w:rPr>
        <w:drawing>
          <wp:inline distB="19050" distT="19050" distL="19050" distR="19050">
            <wp:extent cx="236041" cy="226599"/>
            <wp:effectExtent b="0" l="0" r="0" t="0"/>
            <wp:docPr id="46"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236041" cy="22659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momentum </w:t>
      </w:r>
      <w:r w:rsidDel="00000000" w:rsidR="00000000" w:rsidRPr="00000000">
        <w:rPr>
          <w:rFonts w:ascii="Google Sans Text" w:cs="Google Sans Text" w:eastAsia="Google Sans Text" w:hAnsi="Google Sans Text"/>
          <w:color w:val="1f1f1f"/>
        </w:rPr>
        <w:drawing>
          <wp:inline distB="19050" distT="19050" distL="19050" distR="19050">
            <wp:extent cx="497384" cy="239127"/>
            <wp:effectExtent b="0" l="0" r="0" t="0"/>
            <wp:docPr id="48"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497384" cy="23912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are transferred to the BCC grid nodes using the Linear Box Spline kernel. This establishes an intermediate velocity field </w:t>
      </w:r>
      <w:r w:rsidDel="00000000" w:rsidR="00000000" w:rsidRPr="00000000">
        <w:rPr>
          <w:rFonts w:ascii="Google Sans Text" w:cs="Google Sans Text" w:eastAsia="Google Sans Text" w:hAnsi="Google Sans Text"/>
          <w:color w:val="1f1f1f"/>
        </w:rPr>
        <w:drawing>
          <wp:inline distB="19050" distT="19050" distL="19050" distR="19050">
            <wp:extent cx="191616" cy="229940"/>
            <wp:effectExtent b="0" l="0" r="0" t="0"/>
            <wp:docPr id="49"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191616" cy="22994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on the grid. Crucially, explicitly incorporating the single-occupancy constraint requires us to interpret this grid velocity not just as a physical flow, but as a transport likelihood map.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the intermediate velocity </w:t>
      </w:r>
      <w:r w:rsidDel="00000000" w:rsidR="00000000" w:rsidRPr="00000000">
        <w:rPr>
          <w:rFonts w:ascii="Google Sans Text" w:cs="Google Sans Text" w:eastAsia="Google Sans Text" w:hAnsi="Google Sans Text"/>
          <w:color w:val="1f1f1f"/>
        </w:rPr>
        <w:drawing>
          <wp:inline distB="19050" distT="19050" distL="19050" distR="19050">
            <wp:extent cx="191616" cy="229940"/>
            <wp:effectExtent b="0" l="0" r="0" t="0"/>
            <wp:docPr id="50"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191616" cy="22994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established, we proceed to the </w:t>
      </w:r>
      <w:r w:rsidDel="00000000" w:rsidR="00000000" w:rsidRPr="00000000">
        <w:rPr>
          <w:rFonts w:ascii="Google Sans Text" w:cs="Google Sans Text" w:eastAsia="Google Sans Text" w:hAnsi="Google Sans Text"/>
          <w:b w:val="1"/>
          <w:bCs w:val="1"/>
          <w:color w:val="1f1f1f"/>
          <w:rtl w:val="0"/>
        </w:rPr>
        <w:t xml:space="preserve">Pressure Projection</w:t>
      </w:r>
      <w:r w:rsidDel="00000000" w:rsidR="00000000" w:rsidRPr="00000000">
        <w:rPr>
          <w:rFonts w:ascii="Google Sans Text" w:cs="Google Sans Text" w:eastAsia="Google Sans Text" w:hAnsi="Google Sans Text"/>
          <w:color w:val="1f1f1f"/>
          <w:rtl w:val="0"/>
        </w:rPr>
        <w:t xml:space="preserve">. We solve the Poisson equation </w:t>
      </w:r>
      <w:r w:rsidDel="00000000" w:rsidR="00000000" w:rsidRPr="00000000">
        <w:rPr>
          <w:rFonts w:ascii="Google Sans Text" w:cs="Google Sans Text" w:eastAsia="Google Sans Text" w:hAnsi="Google Sans Text"/>
          <w:color w:val="1f1f1f"/>
        </w:rPr>
        <w:drawing>
          <wp:inline distB="19050" distT="19050" distL="19050" distR="19050">
            <wp:extent cx="1242860" cy="229451"/>
            <wp:effectExtent b="0" l="0" r="0" t="0"/>
            <wp:docPr id="51"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1242860" cy="22945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on the BCC grid. The divergence </w:t>
      </w:r>
      <w:r w:rsidDel="00000000" w:rsidR="00000000" w:rsidRPr="00000000">
        <w:rPr>
          <w:rFonts w:ascii="Google Sans Text" w:cs="Google Sans Text" w:eastAsia="Google Sans Text" w:hAnsi="Google Sans Text"/>
          <w:color w:val="1f1f1f"/>
        </w:rPr>
        <w:drawing>
          <wp:inline distB="19050" distT="19050" distL="19050" distR="19050">
            <wp:extent cx="478408" cy="229636"/>
            <wp:effectExtent b="0" l="0" r="0" t="0"/>
            <wp:docPr id="52"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478408" cy="22963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measures how much the fluid is compressing (negative divergence) or expanding. In a "stacked" column of water, the gravity-induced velocity creates strong compression at the bottom. The Poisson solver computes a pressure field </w:t>
      </w:r>
      <w:r w:rsidDel="00000000" w:rsidR="00000000" w:rsidRPr="00000000">
        <w:rPr>
          <w:rFonts w:ascii="Google Sans Text" w:cs="Google Sans Text" w:eastAsia="Google Sans Text" w:hAnsi="Google Sans Text"/>
          <w:color w:val="1f1f1f"/>
        </w:rPr>
        <w:drawing>
          <wp:inline distB="19050" distT="19050" distL="19050" distR="19050">
            <wp:extent cx="92794" cy="222706"/>
            <wp:effectExtent b="0" l="0" r="0" t="0"/>
            <wp:docPr id="53"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92794" cy="22270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that resists this compression. The gradient of this pressure, </w:t>
      </w:r>
      <w:r w:rsidDel="00000000" w:rsidR="00000000" w:rsidRPr="00000000">
        <w:rPr>
          <w:rFonts w:ascii="Google Sans Text" w:cs="Google Sans Text" w:eastAsia="Google Sans Text" w:hAnsi="Google Sans Text"/>
          <w:color w:val="1f1f1f"/>
        </w:rPr>
        <w:drawing>
          <wp:inline distB="19050" distT="19050" distL="19050" distR="19050">
            <wp:extent cx="246459" cy="227501"/>
            <wp:effectExtent b="0" l="0" r="0" t="0"/>
            <wp:docPr id="54"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246459" cy="22750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then subtracted from the intermediate velocity: </w:t>
      </w:r>
      <w:r w:rsidDel="00000000" w:rsidR="00000000" w:rsidRPr="00000000">
        <w:rPr>
          <w:rFonts w:ascii="Google Sans Text" w:cs="Google Sans Text" w:eastAsia="Google Sans Text" w:hAnsi="Google Sans Text"/>
          <w:color w:val="1f1f1f"/>
        </w:rPr>
        <w:drawing>
          <wp:inline distB="19050" distT="19050" distL="19050" distR="19050">
            <wp:extent cx="1477194" cy="257318"/>
            <wp:effectExtent b="0" l="0" r="0" t="0"/>
            <wp:docPr id="55" name="image49.png"/>
            <a:graphic>
              <a:graphicData uri="http://schemas.openxmlformats.org/drawingml/2006/picture">
                <pic:pic>
                  <pic:nvPicPr>
                    <pic:cNvPr id="0" name="image49.png"/>
                    <pic:cNvPicPr preferRelativeResize="0"/>
                  </pic:nvPicPr>
                  <pic:blipFill>
                    <a:blip r:embed="rId24"/>
                    <a:srcRect b="0" l="0" r="0" t="0"/>
                    <a:stretch>
                      <a:fillRect/>
                    </a:stretch>
                  </pic:blipFill>
                  <pic:spPr>
                    <a:xfrm>
                      <a:off x="0" y="0"/>
                      <a:ext cx="1477194" cy="25731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This new velocity </w:t>
      </w:r>
      <w:r w:rsidDel="00000000" w:rsidR="00000000" w:rsidRPr="00000000">
        <w:rPr>
          <w:rFonts w:ascii="Google Sans Text" w:cs="Google Sans Text" w:eastAsia="Google Sans Text" w:hAnsi="Google Sans Text"/>
          <w:color w:val="1f1f1f"/>
        </w:rPr>
        <w:drawing>
          <wp:inline distB="19050" distT="19050" distL="19050" distR="19050">
            <wp:extent cx="369540" cy="227410"/>
            <wp:effectExtent b="0" l="0" r="0" t="0"/>
            <wp:docPr id="2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369540" cy="22741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divergence-free, meaning it has zero net inflow into fully occupied regions. Physically, this manifests as the vertical velocity being converted into horizontal velocity, causing the "stacked" water to slide sideways into empty cells.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Deriving the 14-Neighbor Discrete Laplacian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Solving the Poisson equation requires a discrete Laplacian operator (</w:t>
      </w:r>
      <w:r w:rsidDel="00000000" w:rsidR="00000000" w:rsidRPr="00000000">
        <w:rPr>
          <w:rFonts w:ascii="Google Sans Text" w:cs="Google Sans Text" w:eastAsia="Google Sans Text" w:hAnsi="Google Sans Text"/>
          <w:color w:val="1f1f1f"/>
        </w:rPr>
        <w:drawing>
          <wp:inline distB="19050" distT="19050" distL="19050" distR="19050">
            <wp:extent cx="227409" cy="217934"/>
            <wp:effectExtent b="0" l="0" r="0" t="0"/>
            <wp:docPr id="22"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227409" cy="21793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compatible with the BCC lattice. On a Cartesian grid, this is the standard 7-point stencil. On the BCC lattice, we utilize a </w:t>
      </w:r>
      <w:r w:rsidDel="00000000" w:rsidR="00000000" w:rsidRPr="00000000">
        <w:rPr>
          <w:rFonts w:ascii="Google Sans Text" w:cs="Google Sans Text" w:eastAsia="Google Sans Text" w:hAnsi="Google Sans Text"/>
          <w:b w:val="1"/>
          <w:bCs w:val="1"/>
          <w:color w:val="1f1f1f"/>
          <w:rtl w:val="0"/>
        </w:rPr>
        <w:t xml:space="preserve">15-point stencil</w:t>
      </w:r>
      <w:r w:rsidDel="00000000" w:rsidR="00000000" w:rsidRPr="00000000">
        <w:rPr>
          <w:rFonts w:ascii="Google Sans Text" w:cs="Google Sans Text" w:eastAsia="Google Sans Text" w:hAnsi="Google Sans Text"/>
          <w:color w:val="1f1f1f"/>
          <w:rtl w:val="0"/>
        </w:rPr>
        <w:t xml:space="preserve"> involving the center node and its 14 neighbors.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Laplacian of pressure </w:t>
      </w:r>
      <w:r w:rsidDel="00000000" w:rsidR="00000000" w:rsidRPr="00000000">
        <w:rPr>
          <w:rFonts w:ascii="Google Sans Text" w:cs="Google Sans Text" w:eastAsia="Google Sans Text" w:hAnsi="Google Sans Text"/>
          <w:color w:val="1f1f1f"/>
        </w:rPr>
        <w:drawing>
          <wp:inline distB="19050" distT="19050" distL="19050" distR="19050">
            <wp:extent cx="92794" cy="222706"/>
            <wp:effectExtent b="0" l="0" r="0" t="0"/>
            <wp:docPr id="23"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92794" cy="22270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at node </w:t>
      </w:r>
      <w:r w:rsidDel="00000000" w:rsidR="00000000" w:rsidRPr="00000000">
        <w:rPr>
          <w:rFonts w:ascii="Google Sans Text" w:cs="Google Sans Text" w:eastAsia="Google Sans Text" w:hAnsi="Google Sans Text"/>
          <w:color w:val="1f1f1f"/>
        </w:rPr>
        <w:drawing>
          <wp:inline distB="19050" distT="19050" distL="19050" distR="19050">
            <wp:extent cx="63624" cy="218140"/>
            <wp:effectExtent b="0" l="0" r="0" t="0"/>
            <wp:docPr id="24"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63624" cy="21814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approximated as: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460859"/>
            <wp:effectExtent b="0" l="0" r="0" t="0"/>
            <wp:docPr id="25"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05500" cy="46085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where </w:t>
      </w:r>
      <w:r w:rsidDel="00000000" w:rsidR="00000000" w:rsidRPr="00000000">
        <w:rPr>
          <w:rFonts w:ascii="Google Sans Text" w:cs="Google Sans Text" w:eastAsia="Google Sans Text" w:hAnsi="Google Sans Text"/>
          <w:color w:val="1f1f1f"/>
        </w:rPr>
        <w:drawing>
          <wp:inline distB="19050" distT="19050" distL="19050" distR="19050">
            <wp:extent cx="221829" cy="231473"/>
            <wp:effectExtent b="0" l="0" r="0" t="0"/>
            <wp:docPr id="26"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221829" cy="23147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are the 8 nearest neighbors and </w:t>
      </w:r>
      <w:r w:rsidDel="00000000" w:rsidR="00000000" w:rsidRPr="00000000">
        <w:rPr>
          <w:rFonts w:ascii="Google Sans Text" w:cs="Google Sans Text" w:eastAsia="Google Sans Text" w:hAnsi="Google Sans Text"/>
          <w:color w:val="1f1f1f"/>
        </w:rPr>
        <w:drawing>
          <wp:inline distB="19050" distT="19050" distL="19050" distR="19050">
            <wp:extent cx="221829" cy="231473"/>
            <wp:effectExtent b="0" l="0" r="0" t="0"/>
            <wp:docPr id="27"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221829" cy="23147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are the 6 next-nearest neighbors. The weights </w:t>
      </w:r>
      <w:r w:rsidDel="00000000" w:rsidR="00000000" w:rsidRPr="00000000">
        <w:rPr>
          <w:rFonts w:ascii="Google Sans Text" w:cs="Google Sans Text" w:eastAsia="Google Sans Text" w:hAnsi="Google Sans Text"/>
          <w:color w:val="1f1f1f"/>
        </w:rPr>
        <w:drawing>
          <wp:inline distB="19050" distT="19050" distL="19050" distR="19050">
            <wp:extent cx="205830" cy="224541"/>
            <wp:effectExtent b="0" l="0" r="0" t="0"/>
            <wp:docPr id="28"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205830" cy="22454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color w:val="1f1f1f"/>
        </w:rPr>
        <w:drawing>
          <wp:inline distB="19050" distT="19050" distL="19050" distR="19050">
            <wp:extent cx="205830" cy="224541"/>
            <wp:effectExtent b="0" l="0" r="0" t="0"/>
            <wp:docPr id="29"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205830" cy="22454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must be carefully calibrated to ensure isotropy and second-order accuracy. Research into optimal sampling lattices suggests weights proportional to the inverse squared distance and the solid angle subtended by the Voronoi face.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Specifically, for a BCC lattice with unit cell size </w:t>
      </w:r>
      <w:r w:rsidDel="00000000" w:rsidR="00000000" w:rsidRPr="00000000">
        <w:rPr>
          <w:rFonts w:ascii="Google Sans Text" w:cs="Google Sans Text" w:eastAsia="Google Sans Text" w:hAnsi="Google Sans Text"/>
          <w:color w:val="1f1f1f"/>
        </w:rPr>
        <w:drawing>
          <wp:inline distB="19050" distT="19050" distL="19050" distR="19050">
            <wp:extent cx="106263" cy="231846"/>
            <wp:effectExtent b="0" l="0" r="0" t="0"/>
            <wp:docPr id="30"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the weights are typically derived such that the contribution from the diagonal neighbors (</w:t>
      </w:r>
      <w:r w:rsidDel="00000000" w:rsidR="00000000" w:rsidRPr="00000000">
        <w:rPr>
          <w:rFonts w:ascii="Google Sans Text" w:cs="Google Sans Text" w:eastAsia="Google Sans Text" w:hAnsi="Google Sans Text"/>
          <w:color w:val="1f1f1f"/>
        </w:rPr>
        <w:drawing>
          <wp:inline distB="19050" distT="19050" distL="19050" distR="19050">
            <wp:extent cx="878384" cy="229144"/>
            <wp:effectExtent b="0" l="0" r="0" t="0"/>
            <wp:docPr id="11"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878384" cy="22914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balanced against the axial neighbors (</w:t>
      </w:r>
      <w:r w:rsidDel="00000000" w:rsidR="00000000" w:rsidRPr="00000000">
        <w:rPr>
          <w:rFonts w:ascii="Google Sans Text" w:cs="Google Sans Text" w:eastAsia="Google Sans Text" w:hAnsi="Google Sans Text"/>
          <w:color w:val="1f1f1f"/>
        </w:rPr>
        <w:drawing>
          <wp:inline distB="19050" distT="19050" distL="19050" distR="19050">
            <wp:extent cx="448047" cy="228790"/>
            <wp:effectExtent b="0" l="0" r="0" t="0"/>
            <wp:docPr id="12"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448047" cy="22879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Implementation of this solver on a GPU (e.g., using Godot's Compute Shaders) requires a matrix-free approach. Instead of building a massive sparse matrix, we iterate over the grid using a Red-Black Gauss-Seidel or Jacobi scheme. For each node, the compute shader fetches the pressure values of the 14 neighbors from the 3D texture (or flattened buffer), computes the Laplacian, and updates the local pressure. Given the constraints of real-time simulation, full convergence is rarely necessary; 4-8 iterations per frame are generally sufficient to generate enough "repulsive" pressure to prevent stacking, even if the field isn't perfectly divergence-free.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Boundary Conditions and Solid Interactions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pressure projection must respect solid boundaries (terrain, rigid bodies) to prevent fluid leakage. We apply a </w:t>
      </w:r>
      <w:r w:rsidDel="00000000" w:rsidR="00000000" w:rsidRPr="00000000">
        <w:rPr>
          <w:rFonts w:ascii="Google Sans Text" w:cs="Google Sans Text" w:eastAsia="Google Sans Text" w:hAnsi="Google Sans Text"/>
          <w:b w:val="1"/>
          <w:bCs w:val="1"/>
          <w:color w:val="1f1f1f"/>
          <w:rtl w:val="0"/>
        </w:rPr>
        <w:t xml:space="preserve">free-slip condition</w:t>
      </w:r>
      <w:r w:rsidDel="00000000" w:rsidR="00000000" w:rsidRPr="00000000">
        <w:rPr>
          <w:rFonts w:ascii="Google Sans Text" w:cs="Google Sans Text" w:eastAsia="Google Sans Text" w:hAnsi="Google Sans Text"/>
          <w:color w:val="1f1f1f"/>
          <w:rtl w:val="0"/>
        </w:rPr>
        <w:t xml:space="preserve"> at the boundaries. In the divergence calculation step, if a neighbor is a solid voxel, we replace its velocity with the solid's velocity (typically zero for static terrain) projected onto the face normal. In the pressure update step, we enforce a Neumann boundary condition (</w:t>
      </w:r>
      <w:r w:rsidDel="00000000" w:rsidR="00000000" w:rsidRPr="00000000">
        <w:rPr>
          <w:rFonts w:ascii="Google Sans Text" w:cs="Google Sans Text" w:eastAsia="Google Sans Text" w:hAnsi="Google Sans Text"/>
          <w:color w:val="1f1f1f"/>
        </w:rPr>
        <w:drawing>
          <wp:inline distB="19050" distT="19050" distL="19050" distR="19050">
            <wp:extent cx="535484" cy="239055"/>
            <wp:effectExtent b="0" l="0" r="0" t="0"/>
            <wp:docPr id="13"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35484" cy="2390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by setting the pressure of solid neighbors equal to the pressure of the fluid cell itself, effectively nullifying the flux across that boundary.</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ensures that pressure builds up against walls, allowing water to pool and stack against obstacles, but not against itself in open space.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Single-Occupancy Advection: The Hybrid Transport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severe constraint in the user's scenario is "single-occupancy," which fundamentally conflicts with the Lagrangian nature of MPM. In standard MPM, particles move freely, and multiple particles can cluster in a cell to represent higher density. Enforcing one particle per cell transforms the advection step from simple integration (</w:t>
      </w:r>
      <w:r w:rsidDel="00000000" w:rsidR="00000000" w:rsidRPr="00000000">
        <w:rPr>
          <w:rFonts w:ascii="Google Sans Text" w:cs="Google Sans Text" w:eastAsia="Google Sans Text" w:hAnsi="Google Sans Text"/>
          <w:color w:val="1f1f1f"/>
        </w:rPr>
        <w:drawing>
          <wp:inline distB="19050" distT="19050" distL="19050" distR="19050">
            <wp:extent cx="1275979" cy="238056"/>
            <wp:effectExtent b="0" l="0" r="0" t="0"/>
            <wp:docPr id="14"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1275979" cy="23805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into a discrete transport problem closer to a permutation or a traffic flow model.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respect the continuum physics calculated by the MPM grid while adhering to the discrete voxel constraint, we propose a </w:t>
      </w:r>
      <w:r w:rsidDel="00000000" w:rsidR="00000000" w:rsidRPr="00000000">
        <w:rPr>
          <w:rFonts w:ascii="Google Sans Text" w:cs="Google Sans Text" w:eastAsia="Google Sans Text" w:hAnsi="Google Sans Text"/>
          <w:b w:val="1"/>
          <w:bCs w:val="1"/>
          <w:color w:val="1f1f1f"/>
          <w:rtl w:val="0"/>
        </w:rPr>
        <w:t xml:space="preserve">Likelihood-Based Cellular Automata (CA) Transport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Velocity-Guided Stochastic Transport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Instead of moving particles directly, the MPM velocity field </w:t>
      </w:r>
      <w:r w:rsidDel="00000000" w:rsidR="00000000" w:rsidRPr="00000000">
        <w:rPr>
          <w:rFonts w:ascii="Google Sans Text" w:cs="Google Sans Text" w:eastAsia="Google Sans Text" w:hAnsi="Google Sans Text"/>
          <w:color w:val="1f1f1f"/>
        </w:rPr>
        <w:drawing>
          <wp:inline distB="19050" distT="19050" distL="19050" distR="19050">
            <wp:extent cx="369540" cy="227410"/>
            <wp:effectExtent b="0" l="0" r="0" t="0"/>
            <wp:docPr id="1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369540" cy="22741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(which is now divergence-free) serves as a "guidance field" for the discrete movement of voxels. The advection step iterates through each active fluid voxel and examines its 14 BCC neighbors.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 particle at location </w:t>
      </w:r>
      <w:r w:rsidDel="00000000" w:rsidR="00000000" w:rsidRPr="00000000">
        <w:rPr>
          <w:rFonts w:ascii="Google Sans Text" w:cs="Google Sans Text" w:eastAsia="Google Sans Text" w:hAnsi="Google Sans Text"/>
          <w:color w:val="1f1f1f"/>
        </w:rPr>
        <w:drawing>
          <wp:inline distB="19050" distT="19050" distL="19050" distR="19050">
            <wp:extent cx="111993" cy="223986"/>
            <wp:effectExtent b="0" l="0" r="0" t="0"/>
            <wp:docPr id="16"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111993" cy="22398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we calculate a "flux probability" to each empty neighbor </w:t>
      </w:r>
      <w:r w:rsidDel="00000000" w:rsidR="00000000" w:rsidRPr="00000000">
        <w:rPr>
          <w:rFonts w:ascii="Google Sans Text" w:cs="Google Sans Text" w:eastAsia="Google Sans Text" w:hAnsi="Google Sans Text"/>
          <w:color w:val="1f1f1f"/>
        </w:rPr>
        <w:drawing>
          <wp:inline distB="19050" distT="19050" distL="19050" distR="19050">
            <wp:extent cx="63624" cy="218140"/>
            <wp:effectExtent b="0" l="0" r="0" t="0"/>
            <wp:docPr id="17"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63624" cy="21814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based on the projection of the velocity vector onto the direction vector </w:t>
      </w:r>
      <w:r w:rsidDel="00000000" w:rsidR="00000000" w:rsidRPr="00000000">
        <w:rPr>
          <w:rFonts w:ascii="Google Sans Text" w:cs="Google Sans Text" w:eastAsia="Google Sans Text" w:hAnsi="Google Sans Text"/>
          <w:color w:val="1f1f1f"/>
        </w:rPr>
        <w:drawing>
          <wp:inline distB="19050" distT="19050" distL="19050" distR="19050">
            <wp:extent cx="920502" cy="227753"/>
            <wp:effectExtent b="0" l="0" r="0" t="0"/>
            <wp:docPr id="18"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920502" cy="22775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330873"/>
            <wp:effectExtent b="0" l="0" r="0" t="0"/>
            <wp:docPr id="19"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905500" cy="33087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particle attempts to move to the neighbor with the highest probability. If the target cell is empty, the move is accepted. If the target cell is occupied, we handle the collision based on the phase of the occupier.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"Move-to-Empty" logic, when driven by the pressure-corrected velocity field, solves the stacking problem. If a particle is at the bottom of a stack, the pressure solver will have generated a lateral velocity component. The "down" neighbor is occupied, but the "diagonal-side" neighbor might be empty. The velocity vector points diagonally, guiding the discrete transport to slide the particle into the empty slot. This allows the pile to relax into a level surface, mimicking the behavior of a hydrostatic fluid without requiring multi-particle compression.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Handling Collisions and Swaps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target cell is occupied by another fluid particle, a swap can be attempted to simulate turbulence or diffusion, though strictly preventing overlap is usually preferred for stability. If the target is occupied by a solid (terrain), the particle simply reflects or stays put. The decoupling of the </w:t>
      </w:r>
      <w:r w:rsidDel="00000000" w:rsidR="00000000" w:rsidRPr="00000000">
        <w:rPr>
          <w:rFonts w:ascii="Google Sans Text" w:cs="Google Sans Text" w:eastAsia="Google Sans Text" w:hAnsi="Google Sans Text"/>
          <w:i w:val="1"/>
          <w:iCs w:val="1"/>
          <w:color w:val="1f1f1f"/>
          <w:rtl w:val="0"/>
        </w:rPr>
        <w:t xml:space="preserve">physics calculation</w:t>
      </w:r>
      <w:r w:rsidDel="00000000" w:rsidR="00000000" w:rsidRPr="00000000">
        <w:rPr>
          <w:rFonts w:ascii="Google Sans Text" w:cs="Google Sans Text" w:eastAsia="Google Sans Text" w:hAnsi="Google Sans Text"/>
          <w:color w:val="1f1f1f"/>
          <w:rtl w:val="0"/>
        </w:rPr>
        <w:t xml:space="preserve"> (on the grid) from the </w:t>
      </w:r>
      <w:r w:rsidDel="00000000" w:rsidR="00000000" w:rsidRPr="00000000">
        <w:rPr>
          <w:rFonts w:ascii="Google Sans Text" w:cs="Google Sans Text" w:eastAsia="Google Sans Text" w:hAnsi="Google Sans Text"/>
          <w:i w:val="1"/>
          <w:iCs w:val="1"/>
          <w:color w:val="1f1f1f"/>
          <w:rtl w:val="0"/>
        </w:rPr>
        <w:t xml:space="preserve">position update</w:t>
      </w:r>
      <w:r w:rsidDel="00000000" w:rsidR="00000000" w:rsidRPr="00000000">
        <w:rPr>
          <w:rFonts w:ascii="Google Sans Text" w:cs="Google Sans Text" w:eastAsia="Google Sans Text" w:hAnsi="Google Sans Text"/>
          <w:color w:val="1f1f1f"/>
          <w:rtl w:val="0"/>
        </w:rPr>
        <w:t xml:space="preserve"> (on the voxels) is the key. The grid captures the global continuum behavior (pressure, gravity, momentum), while the discrete transport step ensures the validity of the voxel state (single occupancy).</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Phase Interaction: Sand-Water Coupling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Simulating the interaction between sand and water voxels requires modeling them as a two-phase mixture. The artifacts typically observed—sand dissolving instantly, water ghosting through sand, or sand refusing to settle—stem from a lack of proper momentum exchange and constitutive coupling.</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Continuum Mixture Theory on Sparse Grids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adopt a multi-species MPM approach where sand and water are treated as separate phases that can conceptually coexist at the grid nodes, even if they are separated in the voxel cells.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total mixture density </w:t>
      </w:r>
      <w:r w:rsidDel="00000000" w:rsidR="00000000" w:rsidRPr="00000000">
        <w:rPr>
          <w:rFonts w:ascii="Google Sans Text" w:cs="Google Sans Text" w:eastAsia="Google Sans Text" w:hAnsi="Google Sans Text"/>
          <w:color w:val="1f1f1f"/>
        </w:rPr>
        <w:drawing>
          <wp:inline distB="19050" distT="19050" distL="19050" distR="19050">
            <wp:extent cx="217884" cy="227358"/>
            <wp:effectExtent b="0" l="0" r="0" t="0"/>
            <wp:docPr id="20"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217884" cy="22735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velocity </w:t>
      </w:r>
      <w:r w:rsidDel="00000000" w:rsidR="00000000" w:rsidRPr="00000000">
        <w:rPr>
          <w:rFonts w:ascii="Google Sans Text" w:cs="Google Sans Text" w:eastAsia="Google Sans Text" w:hAnsi="Google Sans Text"/>
          <w:color w:val="1f1f1f"/>
        </w:rPr>
        <w:drawing>
          <wp:inline distB="19050" distT="19050" distL="19050" distR="19050">
            <wp:extent cx="234479" cy="225100"/>
            <wp:effectExtent b="0" l="0" r="0" t="0"/>
            <wp:docPr id="1"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234479" cy="22510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at a grid node are weighted averages of the sand and water contributions.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interaction is mediated by a </w:t>
      </w:r>
      <w:r w:rsidDel="00000000" w:rsidR="00000000" w:rsidRPr="00000000">
        <w:rPr>
          <w:rFonts w:ascii="Google Sans Text" w:cs="Google Sans Text" w:eastAsia="Google Sans Text" w:hAnsi="Google Sans Text"/>
          <w:b w:val="1"/>
          <w:bCs w:val="1"/>
          <w:color w:val="1f1f1f"/>
          <w:rtl w:val="0"/>
        </w:rPr>
        <w:t xml:space="preserve">Momentum Exchange (Drag) Force</w:t>
      </w:r>
      <w:r w:rsidDel="00000000" w:rsidR="00000000" w:rsidRPr="00000000">
        <w:rPr>
          <w:rFonts w:ascii="Google Sans Text" w:cs="Google Sans Text" w:eastAsia="Google Sans Text" w:hAnsi="Google Sans Text"/>
          <w:color w:val="1f1f1f"/>
          <w:rtl w:val="0"/>
        </w:rPr>
        <w:t xml:space="preserve">. At each grid node, we calculate the relative velocity between the sand phase </w:t>
      </w:r>
      <w:r w:rsidDel="00000000" w:rsidR="00000000" w:rsidRPr="00000000">
        <w:rPr>
          <w:rFonts w:ascii="Google Sans Text" w:cs="Google Sans Text" w:eastAsia="Google Sans Text" w:hAnsi="Google Sans Text"/>
          <w:color w:val="1f1f1f"/>
        </w:rPr>
        <w:drawing>
          <wp:inline distB="19050" distT="19050" distL="19050" distR="19050">
            <wp:extent cx="181719" cy="229540"/>
            <wp:effectExtent b="0" l="0" r="0" t="0"/>
            <wp:docPr id="2"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181719" cy="22954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the water phase </w:t>
      </w:r>
      <w:r w:rsidDel="00000000" w:rsidR="00000000" w:rsidRPr="00000000">
        <w:rPr>
          <w:rFonts w:ascii="Google Sans Text" w:cs="Google Sans Text" w:eastAsia="Google Sans Text" w:hAnsi="Google Sans Text"/>
          <w:color w:val="1f1f1f"/>
        </w:rPr>
        <w:drawing>
          <wp:inline distB="19050" distT="19050" distL="19050" distR="19050">
            <wp:extent cx="216991" cy="226425"/>
            <wp:effectExtent b="0" l="0" r="0" t="0"/>
            <wp:docPr id="3"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216991" cy="22642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 drag force density </w:t>
      </w:r>
      <w:r w:rsidDel="00000000" w:rsidR="00000000" w:rsidRPr="00000000">
        <w:rPr>
          <w:rFonts w:ascii="Google Sans Text" w:cs="Google Sans Text" w:eastAsia="Google Sans Text" w:hAnsi="Google Sans Text"/>
          <w:color w:val="1f1f1f"/>
        </w:rPr>
        <w:drawing>
          <wp:inline distB="19050" distT="19050" distL="19050" distR="19050">
            <wp:extent cx="337394" cy="231356"/>
            <wp:effectExtent b="0" l="0" r="0" t="0"/>
            <wp:docPr id="4"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337394" cy="23135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applied to oppose this relative motion: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330873"/>
            <wp:effectExtent b="0" l="0" r="0" t="0"/>
            <wp:docPr id="5"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5905500" cy="33087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drag coefficient </w:t>
      </w:r>
      <w:r w:rsidDel="00000000" w:rsidR="00000000" w:rsidRPr="00000000">
        <w:rPr>
          <w:rFonts w:ascii="Google Sans Text" w:cs="Google Sans Text" w:eastAsia="Google Sans Text" w:hAnsi="Google Sans Text"/>
          <w:color w:val="1f1f1f"/>
        </w:rPr>
        <w:drawing>
          <wp:inline distB="19050" distT="19050" distL="19050" distR="19050">
            <wp:extent cx="118690" cy="237380"/>
            <wp:effectExtent b="0" l="0" r="0" t="0"/>
            <wp:docPr id="6"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118690" cy="23738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depends on the permeability of the sand and the local volume fractions. In a voxel context, if a grid node gathers influence from 3 Sand voxels and 1 Water voxel, the "volume fraction" is effectively handled by the mass accumulation. This drag force is crucial: it causes moving water to "pull" adjacent sand voxels (erosion) and stationary sand to "slow down" water (porous flow), preventing the phases from passing through each other as ghosts.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4676775"/>
            <wp:effectExtent b="0" l="0" r="0" t="0"/>
            <wp:docPr id="7"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5905500"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Saturation-Dependent Constitutive Model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capture the transition from rigid sand blocks to flowing slurry, we must modify the sand's constitutive model based on water saturation. We employ the </w:t>
      </w:r>
      <w:r w:rsidDel="00000000" w:rsidR="00000000" w:rsidRPr="00000000">
        <w:rPr>
          <w:rFonts w:ascii="Google Sans Text" w:cs="Google Sans Text" w:eastAsia="Google Sans Text" w:hAnsi="Google Sans Text"/>
          <w:b w:val="1"/>
          <w:bCs w:val="1"/>
          <w:color w:val="1f1f1f"/>
          <w:rtl w:val="0"/>
        </w:rPr>
        <w:t xml:space="preserve">Drucker-Prager</w:t>
      </w:r>
      <w:r w:rsidDel="00000000" w:rsidR="00000000" w:rsidRPr="00000000">
        <w:rPr>
          <w:rFonts w:ascii="Google Sans Text" w:cs="Google Sans Text" w:eastAsia="Google Sans Text" w:hAnsi="Google Sans Text"/>
          <w:color w:val="1f1f1f"/>
          <w:rtl w:val="0"/>
        </w:rPr>
        <w:t xml:space="preserve"> yield criterion for the sand, which defines a yield stress based on pressure and friction.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dry state, sand has high cohesion or friction, allowing it to support shear stress (form piles). As water interacts with sand, we track a "saturation" variable </w:t>
      </w:r>
      <w:r w:rsidDel="00000000" w:rsidR="00000000" w:rsidRPr="00000000">
        <w:rPr>
          <w:rFonts w:ascii="Google Sans Text" w:cs="Google Sans Text" w:eastAsia="Google Sans Text" w:hAnsi="Google Sans Text"/>
          <w:color w:val="1f1f1f"/>
        </w:rPr>
        <w:drawing>
          <wp:inline distB="19050" distT="19050" distL="19050" distR="19050">
            <wp:extent cx="86544" cy="230783"/>
            <wp:effectExtent b="0" l="0" r="0" t="0"/>
            <wp:docPr id="8"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86544" cy="23078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on the sand particles. This saturation can be approximated by the presence of water voxels in the immediate BCC neighborhood. We then modulate the yield surface parameters of the Drucker-Prager model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324965"/>
            <wp:effectExtent b="0" l="0" r="0" t="0"/>
            <wp:docPr id="9"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905500" cy="32496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saturation </w:t>
      </w:r>
      <w:r w:rsidDel="00000000" w:rsidR="00000000" w:rsidRPr="00000000">
        <w:rPr>
          <w:rFonts w:ascii="Google Sans Text" w:cs="Google Sans Text" w:eastAsia="Google Sans Text" w:hAnsi="Google Sans Text"/>
          <w:color w:val="1f1f1f"/>
        </w:rPr>
        <w:drawing>
          <wp:inline distB="19050" distT="19050" distL="19050" distR="19050">
            <wp:extent cx="86544" cy="230783"/>
            <wp:effectExtent b="0" l="0" r="0" t="0"/>
            <wp:docPr id="10"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86544" cy="23078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approaches 1 (fully wet), the cohesion drops, and the yield stress decreases. This allows the MPM solver to treat wet sand voxels as a liquid-like material, enabling them to flow and slump under gravity (liquefaction), effectively solving the "rigid block" artifact.</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Implementation Strategy: GPU and Compute Shaders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Implementing this hybrid BCC MPM solver requires a parallel architecture to maintain real-time performance. Compute shaders (e.g., GLSL in Godot or HLSL in Unity) are ideal for this workload.</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Data Structures and Memory Layout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BCC grid poses a challenge for memory indexing. A practical approach is to map the BCC lattice to a standard 3D texture using a "checkerboard" or "interleaved" mapping. A BCC grid of dimensions </w:t>
      </w:r>
      <w:r w:rsidDel="00000000" w:rsidR="00000000" w:rsidRPr="00000000">
        <w:rPr>
          <w:rFonts w:ascii="Google Sans Text" w:cs="Google Sans Text" w:eastAsia="Google Sans Text" w:hAnsi="Google Sans Text"/>
          <w:color w:val="1f1f1f"/>
        </w:rPr>
        <w:drawing>
          <wp:inline distB="19050" distT="19050" distL="19050" distR="19050">
            <wp:extent cx="955177" cy="229242"/>
            <wp:effectExtent b="0" l="0" r="0" t="0"/>
            <wp:docPr id="36"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955177" cy="22924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can be stored in a Cartesian texture of size </w:t>
      </w:r>
      <w:r w:rsidDel="00000000" w:rsidR="00000000" w:rsidRPr="00000000">
        <w:rPr>
          <w:rFonts w:ascii="Google Sans Text" w:cs="Google Sans Text" w:eastAsia="Google Sans Text" w:hAnsi="Google Sans Text"/>
          <w:color w:val="1f1f1f"/>
        </w:rPr>
        <w:drawing>
          <wp:inline distB="19050" distT="19050" distL="19050" distR="19050">
            <wp:extent cx="1047455" cy="228536"/>
            <wp:effectExtent b="0" l="0" r="0" t="0"/>
            <wp:docPr id="39" name="image32.png"/>
            <a:graphic>
              <a:graphicData uri="http://schemas.openxmlformats.org/drawingml/2006/picture">
                <pic:pic>
                  <pic:nvPicPr>
                    <pic:cNvPr id="0" name="image32.png"/>
                    <pic:cNvPicPr preferRelativeResize="0"/>
                  </pic:nvPicPr>
                  <pic:blipFill>
                    <a:blip r:embed="rId52"/>
                    <a:srcRect b="0" l="0" r="0" t="0"/>
                    <a:stretch>
                      <a:fillRect/>
                    </a:stretch>
                  </pic:blipFill>
                  <pic:spPr>
                    <a:xfrm>
                      <a:off x="0" y="0"/>
                      <a:ext cx="1047455" cy="22853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(or similar effective volume), where even and odd indices correspond to the two interleaved sub-grids. Alternatively, a linearized buffer with a spatial hash map is preferred for sparse domains to avoid allocating memory for empty air.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single-occupancy voxels, a R32Uint texture can store the particle ID for each voxel. This allows for </w:t>
      </w:r>
      <w:r w:rsidDel="00000000" w:rsidR="00000000" w:rsidRPr="00000000">
        <w:rPr>
          <w:rFonts w:ascii="Google Sans Text" w:cs="Google Sans Text" w:eastAsia="Google Sans Text" w:hAnsi="Google Sans Text"/>
          <w:color w:val="1f1f1f"/>
        </w:rPr>
        <w:drawing>
          <wp:inline distB="19050" distT="19050" distL="19050" distR="19050">
            <wp:extent cx="381521" cy="228913"/>
            <wp:effectExtent b="0" l="0" r="0" t="0"/>
            <wp:docPr id="40" name="image33.png"/>
            <a:graphic>
              <a:graphicData uri="http://schemas.openxmlformats.org/drawingml/2006/picture">
                <pic:pic>
                  <pic:nvPicPr>
                    <pic:cNvPr id="0" name="image33.png"/>
                    <pic:cNvPicPr preferRelativeResize="0"/>
                  </pic:nvPicPr>
                  <pic:blipFill>
                    <a:blip r:embed="rId53"/>
                    <a:srcRect b="0" l="0" r="0" t="0"/>
                    <a:stretch>
                      <a:fillRect/>
                    </a:stretch>
                  </pic:blipFill>
                  <pic:spPr>
                    <a:xfrm>
                      <a:off x="0" y="0"/>
                      <a:ext cx="381521" cy="22891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collision checks during the transport step. Particle data (velocity, mass, type, deformation gradient) should be stored in Structure of Arrays (SoA) buffers for coalesced memory access.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Comparison: LBM vs. Hybrid MPM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worth noting that the Lattice Boltzmann Method (LBM), specifically the D3Q15 model, naturally operates on a lattice very similar to BCC and handles pressure via streaming rather than a global Poisson solve.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However, LBM struggles with the explicit "single occupancy" constraint for solids; it typically models density as a distribution function </w:t>
      </w:r>
      <w:r w:rsidDel="00000000" w:rsidR="00000000" w:rsidRPr="00000000">
        <w:rPr>
          <w:rFonts w:ascii="Google Sans Text" w:cs="Google Sans Text" w:eastAsia="Google Sans Text" w:hAnsi="Google Sans Text"/>
          <w:color w:val="1f1f1f"/>
        </w:rPr>
        <w:drawing>
          <wp:inline distB="19050" distT="19050" distL="19050" distR="19050">
            <wp:extent cx="144140" cy="230624"/>
            <wp:effectExtent b="0" l="0" r="0" t="0"/>
            <wp:docPr id="42" name="image34.png"/>
            <a:graphic>
              <a:graphicData uri="http://schemas.openxmlformats.org/drawingml/2006/picture">
                <pic:pic>
                  <pic:nvPicPr>
                    <pic:cNvPr id="0" name="image34.png"/>
                    <pic:cNvPicPr preferRelativeResize="0"/>
                  </pic:nvPicPr>
                  <pic:blipFill>
                    <a:blip r:embed="rId54"/>
                    <a:srcRect b="0" l="0" r="0" t="0"/>
                    <a:stretch>
                      <a:fillRect/>
                    </a:stretch>
                  </pic:blipFill>
                  <pic:spPr>
                    <a:xfrm>
                      <a:off x="0" y="0"/>
                      <a:ext cx="144140" cy="23062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rather than discrete particles. The Hybrid MPM approach proposed here is superior for the user's specific constraints because it separates the </w:t>
      </w:r>
      <w:r w:rsidDel="00000000" w:rsidR="00000000" w:rsidRPr="00000000">
        <w:rPr>
          <w:rFonts w:ascii="Google Sans Text" w:cs="Google Sans Text" w:eastAsia="Google Sans Text" w:hAnsi="Google Sans Text"/>
          <w:i w:val="1"/>
          <w:iCs w:val="1"/>
          <w:color w:val="1f1f1f"/>
          <w:rtl w:val="0"/>
        </w:rPr>
        <w:t xml:space="preserve">physics</w:t>
      </w:r>
      <w:r w:rsidDel="00000000" w:rsidR="00000000" w:rsidRPr="00000000">
        <w:rPr>
          <w:rFonts w:ascii="Google Sans Text" w:cs="Google Sans Text" w:eastAsia="Google Sans Text" w:hAnsi="Google Sans Text"/>
          <w:color w:val="1f1f1f"/>
          <w:rtl w:val="0"/>
        </w:rPr>
        <w:t xml:space="preserve"> (handled by MPM on the grid) from the </w:t>
      </w:r>
      <w:r w:rsidDel="00000000" w:rsidR="00000000" w:rsidRPr="00000000">
        <w:rPr>
          <w:rFonts w:ascii="Google Sans Text" w:cs="Google Sans Text" w:eastAsia="Google Sans Text" w:hAnsi="Google Sans Text"/>
          <w:i w:val="1"/>
          <w:iCs w:val="1"/>
          <w:color w:val="1f1f1f"/>
          <w:rtl w:val="0"/>
        </w:rPr>
        <w:t xml:space="preserve">occupancy</w:t>
      </w:r>
      <w:r w:rsidDel="00000000" w:rsidR="00000000" w:rsidRPr="00000000">
        <w:rPr>
          <w:rFonts w:ascii="Google Sans Text" w:cs="Google Sans Text" w:eastAsia="Google Sans Text" w:hAnsi="Google Sans Text"/>
          <w:color w:val="1f1f1f"/>
          <w:rtl w:val="0"/>
        </w:rPr>
        <w:t xml:space="preserve"> (handled by the discrete transport), allowing for the rigid enforcement of "one particle per cell" that voxel engines require, while LBM would require complex re-normalization to prevent mass from "smearing" across cells.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5114925"/>
            <wp:effectExtent b="0" l="0" r="0" t="0"/>
            <wp:docPr id="45" name="image43.png"/>
            <a:graphic>
              <a:graphicData uri="http://schemas.openxmlformats.org/drawingml/2006/picture">
                <pic:pic>
                  <pic:nvPicPr>
                    <pic:cNvPr id="0" name="image43.png"/>
                    <pic:cNvPicPr preferRelativeResize="0"/>
                  </pic:nvPicPr>
                  <pic:blipFill>
                    <a:blip r:embed="rId55"/>
                    <a:srcRect b="0" l="0" r="0" t="0"/>
                    <a:stretch>
                      <a:fillRect/>
                    </a:stretch>
                  </pic:blipFill>
                  <pic:spPr>
                    <a:xfrm>
                      <a:off x="0" y="0"/>
                      <a:ext cx="5905500"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Conclusion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successful implementation of a discrete voxel fluid simulation on a BCC lattice requires a departure from standard "game physics" cellular automata and a move towards a hybrid continuum-discrete model. The "water stacking" artifact is effectively eliminated by introducing an Eulerian Pressure Projection step that solves the Poisson equation on the 14-neighbor BCC stencil, generating the necessary lateral divergence-free velocities. The single-occupancy constraint is respected through a Likelihood-Based Transport scheme that uses this velocity field to guide discrete particle swaps without overlap. Finally, phase interactions are resolved by treating the grid as a mixing medium for momentum exchange and using saturation-dependent constitutive laws to model the liquefaction of sand. This architecture leverages the isotropic benefits of the BCC lattice while providing the robustness required for interactive voxel applications.</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 and Cubic Box Splines for the Body Centered Cubic Lattice - EPrints, accessed February 10, 2026, </w:t>
      </w:r>
      <w:hyperlink r:id="rId56">
        <w:r w:rsidDel="00000000" w:rsidR="00000000" w:rsidRPr="00000000">
          <w:rPr>
            <w:rFonts w:ascii="Google Sans" w:cs="Google Sans" w:eastAsia="Google Sans" w:hAnsi="Google Sans"/>
            <w:color w:val="0000ee"/>
            <w:sz w:val="24"/>
            <w:szCs w:val="24"/>
            <w:u w:val="single"/>
            <w:rtl w:val="0"/>
          </w:rPr>
          <w:t xml:space="preserve">https://eprints.cs.univie.ac.at/5018/1/2004_-_Linear_and_cubic_box_splines.pdf</w:t>
        </w:r>
      </w:hyperlink>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 and Cubic Box Splines for the Body Centered Cubic Lattice - ResearchGate, accessed February 10, 2026, </w:t>
      </w:r>
      <w:hyperlink r:id="rId57">
        <w:r w:rsidDel="00000000" w:rsidR="00000000" w:rsidRPr="00000000">
          <w:rPr>
            <w:rFonts w:ascii="Google Sans" w:cs="Google Sans" w:eastAsia="Google Sans" w:hAnsi="Google Sans"/>
            <w:color w:val="0000ee"/>
            <w:sz w:val="24"/>
            <w:szCs w:val="24"/>
            <w:u w:val="single"/>
            <w:rtl w:val="0"/>
          </w:rPr>
          <w:t xml:space="preserve">https://www.researchgate.net/publication/220944201_Linear_and_Cubic_Box_Splines_for_the_Body_Centered_Cubic_Lattice</w:t>
        </w:r>
      </w:hyperlink>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Volume Rendering on the Body Centered Cubic Lattice Using Box Splines | Request PDF - ResearchGate, accessed February 10, 2026,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https://www.researchgate.net/publication/222336072_Efficient_Volume_Rendering_on_the_Body_Centered_Cubic_Lattice_Using_Box_Splines</w:t>
        </w:r>
      </w:hyperlink>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Lattice-Boltzmann Method on Optimal Sampling Lattices | Request PDF - ResearchGate, accessed February 10, 2026, </w:t>
      </w:r>
      <w:hyperlink r:id="rId59">
        <w:r w:rsidDel="00000000" w:rsidR="00000000" w:rsidRPr="00000000">
          <w:rPr>
            <w:rFonts w:ascii="Google Sans" w:cs="Google Sans" w:eastAsia="Google Sans" w:hAnsi="Google Sans"/>
            <w:color w:val="0000ee"/>
            <w:sz w:val="24"/>
            <w:szCs w:val="24"/>
            <w:u w:val="single"/>
            <w:rtl w:val="0"/>
          </w:rPr>
          <w:t xml:space="preserve">https://www.researchgate.net/publication/24409875_The_Lattice-Boltzmann_Method_on_Optimal_Sampling_Lattices</w:t>
        </w:r>
      </w:hyperlink>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volume rendering on the body centered cubic lattice using box splines - MIP:Lab, accessed February 10, 2026, </w:t>
      </w:r>
      <w:hyperlink r:id="rId60">
        <w:r w:rsidDel="00000000" w:rsidR="00000000" w:rsidRPr="00000000">
          <w:rPr>
            <w:rFonts w:ascii="Google Sans" w:cs="Google Sans" w:eastAsia="Google Sans" w:hAnsi="Google Sans"/>
            <w:color w:val="0000ee"/>
            <w:sz w:val="24"/>
            <w:szCs w:val="24"/>
            <w:u w:val="single"/>
            <w:rtl w:val="0"/>
          </w:rPr>
          <w:t xml:space="preserve">https://miplab.epfl.ch/pub/finkbeiner1001.pdf</w:t>
        </w:r>
      </w:hyperlink>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Efficient 3D Poisson Solver Supporting Dirichlet, Neumann, and Periodic Boundary Conditions - MDPI, accessed February 10, 2026, </w:t>
      </w:r>
      <w:hyperlink r:id="rId61">
        <w:r w:rsidDel="00000000" w:rsidR="00000000" w:rsidRPr="00000000">
          <w:rPr>
            <w:rFonts w:ascii="Google Sans" w:cs="Google Sans" w:eastAsia="Google Sans" w:hAnsi="Google Sans"/>
            <w:color w:val="0000ee"/>
            <w:sz w:val="24"/>
            <w:szCs w:val="24"/>
            <w:u w:val="single"/>
            <w:rtl w:val="0"/>
          </w:rPr>
          <w:t xml:space="preserve">https://www.mdpi.com/2079-3197/13/4/99</w:t>
        </w:r>
      </w:hyperlink>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Fluid Solver for Incompressible Flow in a Rectangular Domain with Arbitrarily-placed Inclusions A Senior Honors Thesis Presented - Brandeis University, accessed February 10, 2026, </w:t>
      </w:r>
      <w:hyperlink r:id="rId62">
        <w:r w:rsidDel="00000000" w:rsidR="00000000" w:rsidRPr="00000000">
          <w:rPr>
            <w:rFonts w:ascii="Google Sans" w:cs="Google Sans" w:eastAsia="Google Sans" w:hAnsi="Google Sans"/>
            <w:color w:val="0000ee"/>
            <w:sz w:val="24"/>
            <w:szCs w:val="24"/>
            <w:u w:val="single"/>
            <w:rtl w:val="0"/>
          </w:rPr>
          <w:t xml:space="preserve">https://www.brandeis.edu/mathematics/docs/thesis-lamelas.pdf</w:t>
        </w:r>
      </w:hyperlink>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30. Real-Time Simulation and Rendering of 3D Fluids ..., accessed February 10, 2026, </w:t>
      </w:r>
      <w:hyperlink r:id="rId63">
        <w:r w:rsidDel="00000000" w:rsidR="00000000" w:rsidRPr="00000000">
          <w:rPr>
            <w:rFonts w:ascii="Google Sans" w:cs="Google Sans" w:eastAsia="Google Sans" w:hAnsi="Google Sans"/>
            <w:color w:val="0000ee"/>
            <w:sz w:val="24"/>
            <w:szCs w:val="24"/>
            <w:u w:val="single"/>
            <w:rtl w:val="0"/>
          </w:rPr>
          <w:t xml:space="preserve">https://developer.nvidia.com/gpugems/gpugems3/part-v-physics-simulation/chapter-30-real-time-simulation-and-rendering-3d-fluids</w:t>
        </w:r>
      </w:hyperlink>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Fluid Simulations with Sparse Volumes on the GPU - ResearchGate, accessed February 10, 2026, </w:t>
      </w:r>
      <w:hyperlink r:id="rId64">
        <w:r w:rsidDel="00000000" w:rsidR="00000000" w:rsidRPr="00000000">
          <w:rPr>
            <w:rFonts w:ascii="Google Sans" w:cs="Google Sans" w:eastAsia="Google Sans" w:hAnsi="Google Sans"/>
            <w:color w:val="0000ee"/>
            <w:sz w:val="24"/>
            <w:szCs w:val="24"/>
            <w:u w:val="single"/>
            <w:rtl w:val="0"/>
          </w:rPr>
          <w:t xml:space="preserve">https://www.researchgate.net/publication/325488464_Fast_Fluid_Simulations_with_Sparse_Volumes_on_the_GPU</w:t>
        </w:r>
      </w:hyperlink>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Multi-species simulation of porous sand and water mixtures - UC Davis Mathematics, accessed February 10, 2026, </w:t>
      </w:r>
      <w:hyperlink r:id="rId65">
        <w:r w:rsidDel="00000000" w:rsidR="00000000" w:rsidRPr="00000000">
          <w:rPr>
            <w:rFonts w:ascii="Google Sans" w:cs="Google Sans" w:eastAsia="Google Sans" w:hAnsi="Google Sans"/>
            <w:color w:val="0000ee"/>
            <w:sz w:val="24"/>
            <w:szCs w:val="24"/>
            <w:u w:val="single"/>
            <w:rtl w:val="0"/>
          </w:rPr>
          <w:t xml:space="preserve">https://math.ucdavis.edu/~jteran/papers/PGKFTJM17.pdf</w:t>
        </w:r>
      </w:hyperlink>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Multi-species simulation of porous sand and water mixtures - ResearchGate, accessed February 10, 2026,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https://www.researchgate.net/publication/318612741_Multi-species_simulation_of_porous_sand_and_water_mixtures</w:t>
        </w:r>
      </w:hyperlink>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study of the lattice Boltzmann collision models for simulation of incompressible fluid flows | Request PDF - ResearchGate, accessed February 10, 2026, </w:t>
      </w:r>
      <w:hyperlink r:id="rId67">
        <w:r w:rsidDel="00000000" w:rsidR="00000000" w:rsidRPr="00000000">
          <w:rPr>
            <w:rFonts w:ascii="Google Sans" w:cs="Google Sans" w:eastAsia="Google Sans" w:hAnsi="Google Sans"/>
            <w:color w:val="0000ee"/>
            <w:sz w:val="24"/>
            <w:szCs w:val="24"/>
            <w:u w:val="single"/>
            <w:rtl w:val="0"/>
          </w:rPr>
          <w:t xml:space="preserve">https://www.researchgate.net/publication/327002017_Comparative_study_of_the_lattice_Boltzmann_collision_models_for_simulation_of_incompressible_fluid_flows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18.png"/><Relationship Id="rId41" Type="http://schemas.openxmlformats.org/officeDocument/2006/relationships/image" Target="media/image5.png"/><Relationship Id="rId44" Type="http://schemas.openxmlformats.org/officeDocument/2006/relationships/image" Target="media/image14.png"/><Relationship Id="rId43" Type="http://schemas.openxmlformats.org/officeDocument/2006/relationships/image" Target="media/image4.png"/><Relationship Id="rId46" Type="http://schemas.openxmlformats.org/officeDocument/2006/relationships/image" Target="media/image10.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image" Target="media/image24.png"/><Relationship Id="rId47" Type="http://schemas.openxmlformats.org/officeDocument/2006/relationships/image" Target="media/image12.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31.png"/><Relationship Id="rId8" Type="http://schemas.openxmlformats.org/officeDocument/2006/relationships/image" Target="media/image30.png"/><Relationship Id="rId31" Type="http://schemas.openxmlformats.org/officeDocument/2006/relationships/image" Target="media/image25.png"/><Relationship Id="rId30" Type="http://schemas.openxmlformats.org/officeDocument/2006/relationships/image" Target="media/image22.png"/><Relationship Id="rId33" Type="http://schemas.openxmlformats.org/officeDocument/2006/relationships/image" Target="media/image38.png"/><Relationship Id="rId32" Type="http://schemas.openxmlformats.org/officeDocument/2006/relationships/image" Target="media/image28.png"/><Relationship Id="rId35" Type="http://schemas.openxmlformats.org/officeDocument/2006/relationships/image" Target="media/image6.png"/><Relationship Id="rId34" Type="http://schemas.openxmlformats.org/officeDocument/2006/relationships/image" Target="media/image2.png"/><Relationship Id="rId37" Type="http://schemas.openxmlformats.org/officeDocument/2006/relationships/image" Target="media/image9.png"/><Relationship Id="rId36" Type="http://schemas.openxmlformats.org/officeDocument/2006/relationships/image" Target="media/image13.png"/><Relationship Id="rId39" Type="http://schemas.openxmlformats.org/officeDocument/2006/relationships/image" Target="media/image16.png"/><Relationship Id="rId38" Type="http://schemas.openxmlformats.org/officeDocument/2006/relationships/image" Target="media/image15.png"/><Relationship Id="rId62" Type="http://schemas.openxmlformats.org/officeDocument/2006/relationships/hyperlink" Target="https://www.brandeis.edu/mathematics/docs/thesis-lamelas.pdf" TargetMode="External"/><Relationship Id="rId61" Type="http://schemas.openxmlformats.org/officeDocument/2006/relationships/hyperlink" Target="https://www.mdpi.com/2079-3197/13/4/99" TargetMode="External"/><Relationship Id="rId20" Type="http://schemas.openxmlformats.org/officeDocument/2006/relationships/image" Target="media/image46.png"/><Relationship Id="rId64" Type="http://schemas.openxmlformats.org/officeDocument/2006/relationships/hyperlink" Target="https://www.researchgate.net/publication/325488464_Fast_Fluid_Simulations_with_Sparse_Volumes_on_the_GPU" TargetMode="External"/><Relationship Id="rId63" Type="http://schemas.openxmlformats.org/officeDocument/2006/relationships/hyperlink" Target="https://developer.nvidia.com/gpugems/gpugems3/part-v-physics-simulation/chapter-30-real-time-simulation-and-rendering-3d-fluids" TargetMode="External"/><Relationship Id="rId22" Type="http://schemas.openxmlformats.org/officeDocument/2006/relationships/image" Target="media/image29.png"/><Relationship Id="rId66" Type="http://schemas.openxmlformats.org/officeDocument/2006/relationships/hyperlink" Target="https://www.researchgate.net/publication/318612741_Multi-species_simulation_of_porous_sand_and_water_mixtures" TargetMode="External"/><Relationship Id="rId21" Type="http://schemas.openxmlformats.org/officeDocument/2006/relationships/image" Target="media/image48.png"/><Relationship Id="rId65" Type="http://schemas.openxmlformats.org/officeDocument/2006/relationships/hyperlink" Target="https://math.ucdavis.edu/~jteran/papers/PGKFTJM17.pdf" TargetMode="External"/><Relationship Id="rId24" Type="http://schemas.openxmlformats.org/officeDocument/2006/relationships/image" Target="media/image49.png"/><Relationship Id="rId23" Type="http://schemas.openxmlformats.org/officeDocument/2006/relationships/image" Target="media/image47.png"/><Relationship Id="rId67" Type="http://schemas.openxmlformats.org/officeDocument/2006/relationships/hyperlink" Target="https://www.researchgate.net/publication/327002017_Comparative_study_of_the_lattice_Boltzmann_collision_models_for_simulation_of_incompressible_fluid_flows" TargetMode="External"/><Relationship Id="rId60" Type="http://schemas.openxmlformats.org/officeDocument/2006/relationships/hyperlink" Target="https://miplab.epfl.ch/pub/finkbeiner1001.pdf" TargetMode="External"/><Relationship Id="rId26" Type="http://schemas.openxmlformats.org/officeDocument/2006/relationships/image" Target="media/image23.png"/><Relationship Id="rId25" Type="http://schemas.openxmlformats.org/officeDocument/2006/relationships/image" Target="media/image7.png"/><Relationship Id="rId28" Type="http://schemas.openxmlformats.org/officeDocument/2006/relationships/image" Target="media/image20.png"/><Relationship Id="rId27" Type="http://schemas.openxmlformats.org/officeDocument/2006/relationships/image" Target="media/image17.png"/><Relationship Id="rId29" Type="http://schemas.openxmlformats.org/officeDocument/2006/relationships/image" Target="media/image19.png"/><Relationship Id="rId51" Type="http://schemas.openxmlformats.org/officeDocument/2006/relationships/image" Target="media/image27.png"/><Relationship Id="rId50" Type="http://schemas.openxmlformats.org/officeDocument/2006/relationships/image" Target="media/image3.png"/><Relationship Id="rId53" Type="http://schemas.openxmlformats.org/officeDocument/2006/relationships/image" Target="media/image33.png"/><Relationship Id="rId52" Type="http://schemas.openxmlformats.org/officeDocument/2006/relationships/image" Target="media/image32.png"/><Relationship Id="rId11" Type="http://schemas.openxmlformats.org/officeDocument/2006/relationships/image" Target="media/image50.png"/><Relationship Id="rId55" Type="http://schemas.openxmlformats.org/officeDocument/2006/relationships/image" Target="media/image43.png"/><Relationship Id="rId10" Type="http://schemas.openxmlformats.org/officeDocument/2006/relationships/image" Target="media/image44.png"/><Relationship Id="rId54" Type="http://schemas.openxmlformats.org/officeDocument/2006/relationships/image" Target="media/image34.png"/><Relationship Id="rId13" Type="http://schemas.openxmlformats.org/officeDocument/2006/relationships/image" Target="media/image39.png"/><Relationship Id="rId57" Type="http://schemas.openxmlformats.org/officeDocument/2006/relationships/hyperlink" Target="https://www.researchgate.net/publication/220944201_Linear_and_Cubic_Box_Splines_for_the_Body_Centered_Cubic_Lattice" TargetMode="External"/><Relationship Id="rId12" Type="http://schemas.openxmlformats.org/officeDocument/2006/relationships/image" Target="media/image36.png"/><Relationship Id="rId56" Type="http://schemas.openxmlformats.org/officeDocument/2006/relationships/hyperlink" Target="https://eprints.cs.univie.ac.at/5018/1/2004_-_Linear_and_cubic_box_splines.pdf" TargetMode="External"/><Relationship Id="rId15" Type="http://schemas.openxmlformats.org/officeDocument/2006/relationships/image" Target="media/image35.png"/><Relationship Id="rId59" Type="http://schemas.openxmlformats.org/officeDocument/2006/relationships/hyperlink" Target="https://www.researchgate.net/publication/24409875_The_Lattice-Boltzmann_Method_on_Optimal_Sampling_Lattices" TargetMode="External"/><Relationship Id="rId14" Type="http://schemas.openxmlformats.org/officeDocument/2006/relationships/image" Target="media/image41.png"/><Relationship Id="rId58" Type="http://schemas.openxmlformats.org/officeDocument/2006/relationships/hyperlink" Target="https://www.researchgate.net/publication/222336072_Efficient_Volume_Rendering_on_the_Body_Centered_Cubic_Lattice_Using_Box_Splines" TargetMode="External"/><Relationship Id="rId17" Type="http://schemas.openxmlformats.org/officeDocument/2006/relationships/image" Target="media/image37.png"/><Relationship Id="rId16" Type="http://schemas.openxmlformats.org/officeDocument/2006/relationships/image" Target="media/image40.png"/><Relationship Id="rId19" Type="http://schemas.openxmlformats.org/officeDocument/2006/relationships/image" Target="media/image45.png"/><Relationship Id="rId18"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