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8D2" w:rsidRPr="00B558D2" w:rsidRDefault="00B558D2" w:rsidP="00B558D2">
      <w:pPr>
        <w:jc w:val="center"/>
        <w:rPr>
          <w:rFonts w:asciiTheme="minorHAnsi" w:hAnsiTheme="minorHAnsi"/>
        </w:rPr>
      </w:pPr>
      <w:r w:rsidRPr="00B558D2">
        <w:rPr>
          <w:rFonts w:asciiTheme="minorHAnsi" w:hAnsiTheme="minorHAnsi"/>
          <w:noProof/>
        </w:rPr>
        <w:drawing>
          <wp:inline distT="0" distB="0" distL="0" distR="0">
            <wp:extent cx="1704975" cy="1095375"/>
            <wp:effectExtent l="19050" t="0" r="9525"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1704975" cy="1095375"/>
                    </a:xfrm>
                    <a:prstGeom prst="rect">
                      <a:avLst/>
                    </a:prstGeom>
                    <a:noFill/>
                    <a:ln w="9525">
                      <a:noFill/>
                      <a:miter lim="800000"/>
                      <a:headEnd/>
                      <a:tailEnd/>
                    </a:ln>
                  </pic:spPr>
                </pic:pic>
              </a:graphicData>
            </a:graphic>
          </wp:inline>
        </w:drawing>
      </w:r>
    </w:p>
    <w:p w:rsidR="00B558D2" w:rsidRPr="00B558D2" w:rsidRDefault="00B558D2" w:rsidP="00B558D2">
      <w:pPr>
        <w:pStyle w:val="Titre2"/>
        <w:rPr>
          <w:rFonts w:asciiTheme="minorHAnsi" w:hAnsiTheme="minorHAnsi"/>
        </w:rPr>
      </w:pPr>
      <w:bookmarkStart w:id="0" w:name="_Toc298344817"/>
      <w:r w:rsidRPr="00B558D2">
        <w:rPr>
          <w:rFonts w:asciiTheme="minorHAnsi" w:hAnsiTheme="minorHAnsi"/>
        </w:rPr>
        <w:t>Description du laboratoire GSB</w:t>
      </w:r>
      <w:bookmarkEnd w:id="0"/>
    </w:p>
    <w:p w:rsidR="00B558D2" w:rsidRPr="00B558D2" w:rsidRDefault="00B558D2" w:rsidP="00B558D2">
      <w:pPr>
        <w:pStyle w:val="Titre3"/>
        <w:jc w:val="both"/>
        <w:rPr>
          <w:rFonts w:asciiTheme="minorHAnsi" w:hAnsiTheme="minorHAnsi"/>
        </w:rPr>
      </w:pPr>
      <w:bookmarkStart w:id="1" w:name="_Toc298344818"/>
      <w:r w:rsidRPr="00B558D2">
        <w:rPr>
          <w:rFonts w:asciiTheme="minorHAnsi" w:hAnsiTheme="minorHAnsi"/>
        </w:rPr>
        <w:t>Le secteur d'activité</w:t>
      </w:r>
      <w:bookmarkEnd w:id="1"/>
    </w:p>
    <w:p w:rsidR="00B558D2" w:rsidRPr="00B558D2" w:rsidRDefault="00B558D2" w:rsidP="00B558D2">
      <w:pPr>
        <w:jc w:val="both"/>
        <w:rPr>
          <w:rFonts w:asciiTheme="minorHAnsi" w:hAnsiTheme="minorHAnsi"/>
        </w:rPr>
      </w:pPr>
      <w:r w:rsidRPr="00B558D2">
        <w:rPr>
          <w:rFonts w:asciiTheme="minorHAnsi" w:hAnsiTheme="minorHAnsi"/>
        </w:rPr>
        <w:t xml:space="preserve">L’industrie pharmaceutique est un secteur très lucratif dans lequel le mouvement de fusion acquisition est très fort. Les regroupements de laboratoires ces dernières années ont donné naissance à des entités gigantesques au sein desquelles le travail est longtemps resté organisé selon les anciennes structures. </w:t>
      </w:r>
    </w:p>
    <w:p w:rsidR="00B558D2" w:rsidRPr="00B558D2" w:rsidRDefault="00B558D2" w:rsidP="00B558D2">
      <w:pPr>
        <w:jc w:val="both"/>
        <w:rPr>
          <w:rFonts w:asciiTheme="minorHAnsi" w:hAnsiTheme="minorHAnsi"/>
        </w:rPr>
      </w:pPr>
      <w:r w:rsidRPr="00B558D2">
        <w:rPr>
          <w:rFonts w:asciiTheme="minorHAnsi" w:hAnsiTheme="minorHAnsi"/>
        </w:rPr>
        <w:t xml:space="preserve">Des déboires divers récents autour de médicaments ou molécules ayant entraîné des complications médicales ont fait s'élever des voix contre une partie de l'activité des laboratoires : la visite médicale, réputée être le lieu </w:t>
      </w:r>
      <w:proofErr w:type="gramStart"/>
      <w:r w:rsidRPr="00B558D2">
        <w:rPr>
          <w:rFonts w:asciiTheme="minorHAnsi" w:hAnsiTheme="minorHAnsi"/>
        </w:rPr>
        <w:t>d' arrangements</w:t>
      </w:r>
      <w:proofErr w:type="gramEnd"/>
      <w:r w:rsidRPr="00B558D2">
        <w:rPr>
          <w:rFonts w:asciiTheme="minorHAnsi" w:hAnsiTheme="minorHAnsi"/>
        </w:rPr>
        <w:t xml:space="preserve"> entre l'industrie et les praticiens, et tout du moins un terrain d'influence opaque.</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2" w:name="_Toc398367993"/>
      <w:bookmarkStart w:id="3" w:name="_Toc298344819"/>
      <w:r w:rsidRPr="00B558D2">
        <w:rPr>
          <w:rFonts w:asciiTheme="minorHAnsi" w:hAnsiTheme="minorHAnsi"/>
        </w:rPr>
        <w:t>L'entreprise</w:t>
      </w:r>
      <w:bookmarkEnd w:id="2"/>
      <w:bookmarkEnd w:id="3"/>
    </w:p>
    <w:p w:rsidR="00B558D2" w:rsidRPr="00B558D2" w:rsidRDefault="00B558D2" w:rsidP="00B558D2">
      <w:pPr>
        <w:jc w:val="both"/>
        <w:rPr>
          <w:rFonts w:asciiTheme="minorHAnsi" w:hAnsiTheme="minorHAnsi"/>
        </w:rPr>
      </w:pPr>
      <w:r w:rsidRPr="00B558D2">
        <w:rPr>
          <w:rFonts w:asciiTheme="minorHAnsi" w:hAnsiTheme="minorHAnsi"/>
        </w:rPr>
        <w:t xml:space="preserve">Le laboratoire </w:t>
      </w:r>
      <w:proofErr w:type="spellStart"/>
      <w:r w:rsidRPr="00B558D2">
        <w:rPr>
          <w:rFonts w:asciiTheme="minorHAnsi" w:hAnsiTheme="minorHAnsi"/>
        </w:rPr>
        <w:t>Galaxy</w:t>
      </w:r>
      <w:proofErr w:type="spellEnd"/>
      <w:r w:rsidRPr="00B558D2">
        <w:rPr>
          <w:rFonts w:asciiTheme="minorHAnsi" w:hAnsiTheme="minorHAnsi"/>
        </w:rPr>
        <w:t xml:space="preserve"> </w:t>
      </w:r>
      <w:proofErr w:type="spellStart"/>
      <w:r w:rsidRPr="00B558D2">
        <w:rPr>
          <w:rFonts w:asciiTheme="minorHAnsi" w:hAnsiTheme="minorHAnsi"/>
        </w:rPr>
        <w:t>Swiss</w:t>
      </w:r>
      <w:proofErr w:type="spellEnd"/>
      <w:r w:rsidRPr="00B558D2">
        <w:rPr>
          <w:rFonts w:asciiTheme="minorHAnsi" w:hAnsiTheme="minorHAnsi"/>
        </w:rPr>
        <w:t xml:space="preserve"> Bourdin (GSB) est issu de la fusion entre le géant américain </w:t>
      </w:r>
      <w:proofErr w:type="spellStart"/>
      <w:r w:rsidRPr="00B558D2">
        <w:rPr>
          <w:rFonts w:asciiTheme="minorHAnsi" w:hAnsiTheme="minorHAnsi"/>
        </w:rPr>
        <w:t>Galaxy</w:t>
      </w:r>
      <w:proofErr w:type="spellEnd"/>
      <w:r w:rsidRPr="00B558D2">
        <w:rPr>
          <w:rFonts w:asciiTheme="minorHAnsi" w:hAnsiTheme="minorHAnsi"/>
        </w:rPr>
        <w:t xml:space="preserve"> (spécialisé dans le secteur des maladies virales dont le SIDA et les hépatites) et le conglomérat européen </w:t>
      </w:r>
      <w:proofErr w:type="spellStart"/>
      <w:r w:rsidRPr="00B558D2">
        <w:rPr>
          <w:rFonts w:asciiTheme="minorHAnsi" w:hAnsiTheme="minorHAnsi"/>
        </w:rPr>
        <w:t>Swiss</w:t>
      </w:r>
      <w:proofErr w:type="spellEnd"/>
      <w:r w:rsidRPr="00B558D2">
        <w:rPr>
          <w:rFonts w:asciiTheme="minorHAnsi" w:hAnsiTheme="minorHAnsi"/>
        </w:rPr>
        <w:t xml:space="preserve"> Bourdin (travaillant sur des médicaments plus conventionnels), lui même déjà union de trois petits </w:t>
      </w:r>
      <w:proofErr w:type="gramStart"/>
      <w:r w:rsidRPr="00B558D2">
        <w:rPr>
          <w:rFonts w:asciiTheme="minorHAnsi" w:hAnsiTheme="minorHAnsi"/>
        </w:rPr>
        <w:t>laboratoires .</w:t>
      </w:r>
      <w:proofErr w:type="gramEnd"/>
    </w:p>
    <w:p w:rsidR="00B558D2" w:rsidRPr="00B558D2" w:rsidRDefault="00B558D2" w:rsidP="00B558D2">
      <w:pPr>
        <w:jc w:val="both"/>
        <w:rPr>
          <w:rFonts w:asciiTheme="minorHAnsi" w:hAnsiTheme="minorHAnsi"/>
        </w:rPr>
      </w:pPr>
      <w:r w:rsidRPr="00B558D2">
        <w:rPr>
          <w:rFonts w:asciiTheme="minorHAnsi" w:hAnsiTheme="minorHAnsi"/>
        </w:rPr>
        <w:t xml:space="preserve">En 2009, les deux géants pharmaceutiques ont uni leurs forces pour créer un leader de ce secteur industriel. L'entité </w:t>
      </w:r>
      <w:proofErr w:type="spellStart"/>
      <w:r w:rsidRPr="00B558D2">
        <w:rPr>
          <w:rFonts w:asciiTheme="minorHAnsi" w:hAnsiTheme="minorHAnsi"/>
        </w:rPr>
        <w:t>Galaxy</w:t>
      </w:r>
      <w:proofErr w:type="spellEnd"/>
      <w:r w:rsidRPr="00B558D2">
        <w:rPr>
          <w:rFonts w:asciiTheme="minorHAnsi" w:hAnsiTheme="minorHAnsi"/>
        </w:rPr>
        <w:t xml:space="preserve"> </w:t>
      </w:r>
      <w:proofErr w:type="spellStart"/>
      <w:r w:rsidRPr="00B558D2">
        <w:rPr>
          <w:rFonts w:asciiTheme="minorHAnsi" w:hAnsiTheme="minorHAnsi"/>
        </w:rPr>
        <w:t>Swiss</w:t>
      </w:r>
      <w:proofErr w:type="spellEnd"/>
      <w:r w:rsidRPr="00B558D2">
        <w:rPr>
          <w:rFonts w:asciiTheme="minorHAnsi" w:hAnsiTheme="minorHAnsi"/>
        </w:rPr>
        <w:t xml:space="preserve"> Bourdin Europe a établi son siège administratif à Paris. </w:t>
      </w:r>
    </w:p>
    <w:p w:rsidR="00B558D2" w:rsidRPr="00B558D2" w:rsidRDefault="00B558D2" w:rsidP="00B558D2">
      <w:pPr>
        <w:jc w:val="both"/>
        <w:rPr>
          <w:rFonts w:asciiTheme="minorHAnsi" w:hAnsiTheme="minorHAnsi"/>
        </w:rPr>
      </w:pPr>
      <w:r w:rsidRPr="00B558D2">
        <w:rPr>
          <w:rFonts w:asciiTheme="minorHAnsi" w:hAnsiTheme="minorHAnsi"/>
        </w:rPr>
        <w:t>Le siège social de la multinationale est situé à Philadelphie, Pennsylvanie, aux Etats-Unis.</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La France a été choisie comme témoin pour l'amélioration du suivi de l'activité de visite.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b/>
        </w:rPr>
      </w:pPr>
      <w:r w:rsidRPr="00B558D2">
        <w:rPr>
          <w:rFonts w:asciiTheme="minorHAnsi" w:hAnsiTheme="minorHAnsi"/>
          <w:b/>
        </w:rPr>
        <w:t>Réorganisation</w:t>
      </w:r>
    </w:p>
    <w:p w:rsidR="00B558D2" w:rsidRPr="00B558D2" w:rsidRDefault="00B558D2" w:rsidP="00B558D2">
      <w:pPr>
        <w:jc w:val="both"/>
        <w:rPr>
          <w:rFonts w:asciiTheme="minorHAnsi" w:hAnsiTheme="minorHAnsi"/>
        </w:rPr>
      </w:pPr>
      <w:r w:rsidRPr="00B558D2">
        <w:rPr>
          <w:rFonts w:asciiTheme="minorHAnsi" w:hAnsiTheme="minorHAnsi"/>
        </w:rPr>
        <w:t>Une conséquence de cette fusion, est la recherche d'une optimisation de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00B558D2" w:rsidRPr="00B558D2" w:rsidRDefault="00B558D2" w:rsidP="00B558D2">
      <w:pPr>
        <w:jc w:val="both"/>
        <w:rPr>
          <w:rFonts w:asciiTheme="minorHAnsi" w:hAnsiTheme="minorHAnsi"/>
        </w:rPr>
      </w:pPr>
      <w:r w:rsidRPr="00B558D2">
        <w:rPr>
          <w:rFonts w:asciiTheme="minorHAnsi" w:hAnsiTheme="minorHAnsi"/>
        </w:rPr>
        <w:t xml:space="preserve">L'entreprise compte 480 visiteurs médicaux en France métropolitaine (Corse comprise), et 60 dans les départements et territoires d'outre-mer. Les territoires sont répartis en 6 secteurs géographiques (Paris-Centre, Sud, Nord, Ouest, Est, DTOM Caraïbes-Amériques, DTOM Asie-Afrique). </w:t>
      </w:r>
    </w:p>
    <w:p w:rsidR="00B558D2" w:rsidRPr="00B558D2" w:rsidRDefault="00B558D2" w:rsidP="00B558D2">
      <w:pPr>
        <w:jc w:val="both"/>
        <w:rPr>
          <w:rFonts w:asciiTheme="minorHAnsi" w:hAnsiTheme="minorHAnsi"/>
        </w:rPr>
      </w:pPr>
      <w:r w:rsidRPr="00B558D2">
        <w:rPr>
          <w:rFonts w:asciiTheme="minorHAnsi" w:hAnsiTheme="minorHAnsi"/>
        </w:rPr>
        <w:t>Une vision partielle de cette organisation est présentée ci-dessous.</w:t>
      </w:r>
    </w:p>
    <w:p w:rsidR="00B558D2" w:rsidRPr="00B558D2" w:rsidRDefault="00B558D2" w:rsidP="00B558D2">
      <w:pPr>
        <w:jc w:val="both"/>
        <w:rPr>
          <w:rFonts w:asciiTheme="minorHAnsi" w:hAnsiTheme="minorHAnsi"/>
        </w:rPr>
      </w:pPr>
      <w:r w:rsidRPr="00B558D2">
        <w:rPr>
          <w:rFonts w:asciiTheme="minorHAnsi" w:hAnsiTheme="minorHAnsi"/>
        </w:rPr>
        <w:pict>
          <v:group id="_x0000_s1026" style="position:absolute;left:0;text-align:left;margin-left:244.85pt;margin-top:15.55pt;width:242.05pt;height:166.35pt;z-index:251660288" coordorigin="25,-1" coordsize="19364,20001" o:allowincell="f">
            <v:line id="_x0000_s1027" style="position:absolute;flip:y" from="789,5470" to="793,14902" strokeweight="1pt">
              <v:stroke startarrowwidth="narrow" startarrowlength="short" endarrowwidth="narrow" endarrowlength="short"/>
            </v:line>
            <v:line id="_x0000_s1028" style="position:absolute" from="789,5193" to="4521,8253" strokeweight="1pt">
              <v:stroke startarrowwidth="narrow" startarrowlength="short" endarrowwidth="narrow" endarrowlength="short"/>
            </v:line>
            <v:line id="_x0000_s1029" style="position:absolute;flip:y" from="11037,5349" to="11041,14782" strokeweight="1pt">
              <v:stroke startarrowwidth="narrow" startarrowlength="short" endarrowwidth="narrow" endarrowlength="short"/>
            </v:line>
            <v:line id="_x0000_s1030" style="position:absolute;flip:x" from="7225,5319" to="10957,8379" strokeweight="1pt">
              <v:stroke startarrowwidth="narrow" startarrowlength="short" endarrowwidth="narrow" endarrowlength="short"/>
            </v:line>
            <v:line id="_x0000_s1031" style="position:absolute" from="7309,11812" to="11041,14872" strokeweight="1pt">
              <v:stroke startarrowwidth="narrow" startarrowlength="short" endarrowwidth="narrow" endarrowlength="short"/>
            </v:line>
            <v:line id="_x0000_s1032" style="position:absolute;flip:x" from="789,11812" to="4521,14872" strokeweight="1pt">
              <v:stroke startarrowwidth="narrow" startarrowlength="short" endarrowwidth="narrow" endarrowlength="short"/>
            </v:line>
            <v:line id="_x0000_s1033" style="position:absolute;flip:x" from="789,-1" to="5877,5223" strokeweight="1pt">
              <v:stroke startarrowwidth="narrow" startarrowlength="short" endarrowwidth="narrow" endarrowlength="short"/>
            </v:line>
            <v:line id="_x0000_s1034" style="position:absolute" from="5961,185" to="11049,5410" strokeweight="1pt">
              <v:stroke startarrowwidth="narrow" startarrowlength="short" endarrowwidth="narrow" endarrowlength="short"/>
            </v:line>
            <v:line id="_x0000_s1035" style="position:absolute;flip:y" from="5953,14776" to="11041,20000" strokeweight="1pt">
              <v:stroke startarrowwidth="narrow" startarrowlength="short" endarrowwidth="narrow" endarrowlength="short"/>
            </v:line>
            <v:line id="_x0000_s1036" style="position:absolute;flip:x y" from="789,14776" to="5877,20000" strokeweight="1pt">
              <v:stroke startarrowwidth="narrow" startarrowlength="short" endarrowwidth="narrow" endarrowlength="short"/>
            </v:line>
            <v:oval id="_x0000_s1037" style="position:absolute;left:4173;top:7105;width:3564;height:5609" strokeweight="1pt"/>
            <v:rect id="_x0000_s1038" style="position:absolute;left:4345;top:3540;width:3732;height:1785" strokeweight="1pt">
              <v:textbox style="mso-next-textbox:#_x0000_s1038" inset="1pt,1pt,1pt,1pt">
                <w:txbxContent>
                  <w:p w:rsidR="00B558D2" w:rsidRDefault="00B558D2" w:rsidP="00B558D2">
                    <w:pPr>
                      <w:tabs>
                        <w:tab w:val="right" w:pos="426"/>
                      </w:tabs>
                      <w:jc w:val="center"/>
                    </w:pPr>
                    <w:r>
                      <w:t>NORD</w:t>
                    </w:r>
                  </w:p>
                </w:txbxContent>
              </v:textbox>
            </v:rect>
            <v:rect id="_x0000_s1039" style="position:absolute;left:25;top:9143;width:3732;height:1785" strokeweight="1pt">
              <v:textbox style="mso-next-textbox:#_x0000_s1039" inset="1pt,1pt,1pt,1pt">
                <w:txbxContent>
                  <w:p w:rsidR="00B558D2" w:rsidRDefault="00B558D2" w:rsidP="00B558D2">
                    <w:pPr>
                      <w:tabs>
                        <w:tab w:val="right" w:pos="426"/>
                      </w:tabs>
                      <w:jc w:val="center"/>
                    </w:pPr>
                    <w:r>
                      <w:t>OUEST</w:t>
                    </w:r>
                  </w:p>
                </w:txbxContent>
              </v:textbox>
            </v:rect>
            <v:rect id="_x0000_s1040" style="position:absolute;left:8073;top:9143;width:3732;height:1785" strokeweight="1pt">
              <v:textbox style="mso-next-textbox:#_x0000_s1040" inset="1pt,1pt,1pt,1pt">
                <w:txbxContent>
                  <w:p w:rsidR="00B558D2" w:rsidRDefault="00B558D2" w:rsidP="00B558D2">
                    <w:pPr>
                      <w:tabs>
                        <w:tab w:val="right" w:pos="426"/>
                      </w:tabs>
                      <w:jc w:val="center"/>
                    </w:pPr>
                    <w:r>
                      <w:t>EST</w:t>
                    </w:r>
                  </w:p>
                </w:txbxContent>
              </v:textbox>
            </v:rect>
            <v:rect id="_x0000_s1041" style="position:absolute;left:4429;top:14115;width:3732;height:1785" strokeweight="1pt">
              <v:textbox style="mso-next-textbox:#_x0000_s1041" inset="1pt,1pt,1pt,1pt">
                <w:txbxContent>
                  <w:p w:rsidR="00B558D2" w:rsidRDefault="00B558D2" w:rsidP="00B558D2">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2" type="#_x0000_t48" style="position:absolute;left:13629;top:1803;width:5760;height:3486" adj="-27180,42306,-14475,7374,-1785,7374" strokeweight="1pt">
              <v:stroke startarrowwidth="narrow" startarrowlength="short" endarrowwidth="narrow" endarrowlength="short"/>
              <v:textbox style="mso-next-textbox:#_x0000_s1042" inset="1pt,1pt,1pt,1pt">
                <w:txbxContent>
                  <w:p w:rsidR="00B558D2" w:rsidRDefault="00B558D2" w:rsidP="00B558D2">
                    <w:pPr>
                      <w:jc w:val="center"/>
                    </w:pPr>
                    <w:r>
                      <w:t>PARIS CENTRE</w:t>
                    </w:r>
                  </w:p>
                </w:txbxContent>
              </v:textbox>
              <o:callout v:ext="edit" gap="5.95pt" distance="9.9pt" length="179.81278mm" minusy="t" dropauto="t"/>
            </v:shape>
          </v:group>
        </w:pict>
      </w:r>
      <w:r w:rsidRPr="00B558D2">
        <w:rPr>
          <w:rFonts w:asciiTheme="minorHAnsi" w:hAnsiTheme="minorHAnsi"/>
          <w:noProof/>
        </w:rPr>
        <w:drawing>
          <wp:inline distT="0" distB="0" distL="0" distR="0">
            <wp:extent cx="2790825" cy="2590800"/>
            <wp:effectExtent l="1905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90825" cy="2590800"/>
                    </a:xfrm>
                    <a:prstGeom prst="rect">
                      <a:avLst/>
                    </a:prstGeom>
                    <a:noFill/>
                    <a:ln w="9525">
                      <a:noFill/>
                      <a:miter lim="800000"/>
                      <a:headEnd/>
                      <a:tailEnd/>
                    </a:ln>
                  </pic:spPr>
                </pic:pic>
              </a:graphicData>
            </a:graphic>
          </wp:inline>
        </w:drawing>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Après deux années de réorganisations internes, tant au niveau du personnel que du fonctionnement administratif, l'entreprise GSB souhaite moderniser l'activité de visite médicale.</w:t>
      </w:r>
    </w:p>
    <w:p w:rsidR="00B558D2" w:rsidRPr="00B558D2" w:rsidRDefault="00B558D2" w:rsidP="00B558D2">
      <w:pPr>
        <w:pStyle w:val="Titre2"/>
        <w:jc w:val="both"/>
        <w:rPr>
          <w:rFonts w:asciiTheme="minorHAnsi" w:hAnsiTheme="minorHAnsi"/>
        </w:rPr>
      </w:pPr>
      <w:r w:rsidRPr="00B558D2">
        <w:rPr>
          <w:rFonts w:asciiTheme="minorHAnsi" w:hAnsiTheme="minorHAnsi"/>
        </w:rPr>
        <w:br w:type="page"/>
      </w:r>
      <w:bookmarkStart w:id="4" w:name="_Toc298344820"/>
      <w:r w:rsidRPr="00B558D2">
        <w:rPr>
          <w:rFonts w:asciiTheme="minorHAnsi" w:hAnsiTheme="minorHAnsi"/>
        </w:rPr>
        <w:lastRenderedPageBreak/>
        <w:t>Description du Système Informatique</w:t>
      </w:r>
      <w:bookmarkEnd w:id="4"/>
    </w:p>
    <w:p w:rsidR="00B558D2" w:rsidRPr="00B558D2" w:rsidRDefault="00B558D2" w:rsidP="00B558D2">
      <w:pPr>
        <w:pStyle w:val="Titre3"/>
        <w:jc w:val="both"/>
        <w:rPr>
          <w:rFonts w:asciiTheme="minorHAnsi" w:hAnsiTheme="minorHAnsi"/>
        </w:rPr>
      </w:pPr>
      <w:bookmarkStart w:id="5" w:name="_Toc298344821"/>
      <w:r w:rsidRPr="00B558D2">
        <w:rPr>
          <w:rFonts w:asciiTheme="minorHAnsi" w:hAnsiTheme="minorHAnsi"/>
        </w:rPr>
        <w:t>Le système informatique</w:t>
      </w:r>
      <w:bookmarkEnd w:id="5"/>
    </w:p>
    <w:p w:rsidR="00B558D2" w:rsidRPr="00B558D2" w:rsidRDefault="00B558D2" w:rsidP="00B558D2">
      <w:pPr>
        <w:jc w:val="both"/>
        <w:rPr>
          <w:rFonts w:asciiTheme="minorHAnsi" w:hAnsiTheme="minorHAnsi"/>
        </w:rPr>
      </w:pPr>
      <w:r w:rsidRPr="00B558D2">
        <w:rPr>
          <w:rFonts w:asciiTheme="minorHAnsi" w:hAnsiTheme="minorHAnsi"/>
        </w:rPr>
        <w:t xml:space="preserve">Sur le site parisien, toutes les fonctions administratives (gestion des ressources humaines, comptabilité, direction, commerciale, etc.)  </w:t>
      </w:r>
      <w:proofErr w:type="gramStart"/>
      <w:r w:rsidRPr="00B558D2">
        <w:rPr>
          <w:rFonts w:asciiTheme="minorHAnsi" w:hAnsiTheme="minorHAnsi"/>
        </w:rPr>
        <w:t>sont</w:t>
      </w:r>
      <w:proofErr w:type="gramEnd"/>
      <w:r w:rsidRPr="00B558D2">
        <w:rPr>
          <w:rFonts w:asciiTheme="minorHAnsi" w:hAnsiTheme="minorHAnsi"/>
        </w:rPr>
        <w:t xml:space="preserve"> présentes. On trouve en outre un service </w:t>
      </w:r>
      <w:r w:rsidRPr="00B558D2">
        <w:rPr>
          <w:rFonts w:asciiTheme="minorHAnsi" w:hAnsiTheme="minorHAnsi"/>
          <w:i/>
        </w:rPr>
        <w:t>labo-recherche</w:t>
      </w:r>
      <w:r w:rsidRPr="00B558D2">
        <w:rPr>
          <w:rFonts w:asciiTheme="minorHAnsi" w:hAnsiTheme="minorHAnsi"/>
        </w:rPr>
        <w:t>, le service juridique et le service communication.</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La salle serveur occupe le 6ème étage du bâtiment et les accès y sont restreints (étage accessible par ascenseur à l'aide d'une clé sécurisée, portes d'accès par escalier munies d'un lecteur de badge, sas d'entrée avec gardien présent 24h/24).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serveurs assurent les fonctions de base du réseau (DHCP, DNS, Annuaire et gestion centralisée des environnements) et les fonctions de communication (Intranet, Messagerie, Agenda partagé, etc.). </w:t>
      </w:r>
    </w:p>
    <w:p w:rsidR="00B558D2" w:rsidRPr="00B558D2" w:rsidRDefault="00B558D2" w:rsidP="00B558D2">
      <w:pPr>
        <w:jc w:val="both"/>
        <w:rPr>
          <w:rFonts w:asciiTheme="minorHAnsi" w:hAnsiTheme="minorHAnsi"/>
        </w:rPr>
      </w:pPr>
      <w:r w:rsidRPr="00B558D2">
        <w:rPr>
          <w:rFonts w:asciiTheme="minorHAnsi" w:hAnsiTheme="minorHAnsi"/>
        </w:rPr>
        <w:t xml:space="preserve">On trouve aussi de nombreuses applications métier (base d'information pharmaceutique, serveurs dédiés à la recherche, base de données des produits du laboratoire, base de données des licences d'exploitation pharmaceutique, etc.) et les fonctions plus génériques de toute entreprise (Progiciel de Gestion Intégré avec ses modules RH, GRC, etc.). </w:t>
      </w:r>
    </w:p>
    <w:p w:rsidR="00B558D2" w:rsidRPr="00B558D2" w:rsidRDefault="00B558D2" w:rsidP="00B558D2">
      <w:pPr>
        <w:jc w:val="both"/>
        <w:rPr>
          <w:rFonts w:asciiTheme="minorHAnsi" w:hAnsiTheme="minorHAnsi"/>
        </w:rPr>
      </w:pPr>
      <w:r w:rsidRPr="00B558D2">
        <w:rPr>
          <w:rFonts w:asciiTheme="minorHAnsi" w:hAnsiTheme="minorHAnsi"/>
        </w:rPr>
        <w:t xml:space="preserve">Un nombre croissant de serveurs est </w:t>
      </w:r>
      <w:proofErr w:type="spellStart"/>
      <w:r w:rsidRPr="00B558D2">
        <w:rPr>
          <w:rFonts w:asciiTheme="minorHAnsi" w:hAnsiTheme="minorHAnsi"/>
        </w:rPr>
        <w:t>virtualisé</w:t>
      </w:r>
      <w:proofErr w:type="spellEnd"/>
      <w:r w:rsidRPr="00B558D2">
        <w:rPr>
          <w:rFonts w:asciiTheme="minorHAnsi" w:hAnsiTheme="minorHAnsi"/>
        </w:rPr>
        <w:t xml:space="preserve">.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Constitué autour de VLAN, le réseau segmente les services de manière à fluidifier le trafic.</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données de l'entreprises sont considérées comme stratégiques et ne peuvent tolérer ni fuite, ni destruction. L'ensemble des informations est répliqué quotidiennement aux Etats-Unis par un lien dédié. Toutes les fonctions de redondances (RAID, alimentation, lien réseau redondant, </w:t>
      </w:r>
      <w:proofErr w:type="spellStart"/>
      <w:r w:rsidRPr="00B558D2">
        <w:rPr>
          <w:rFonts w:asciiTheme="minorHAnsi" w:hAnsiTheme="minorHAnsi"/>
        </w:rPr>
        <w:t>Spanning</w:t>
      </w:r>
      <w:proofErr w:type="spellEnd"/>
      <w:r w:rsidRPr="00B558D2">
        <w:rPr>
          <w:rFonts w:asciiTheme="minorHAnsi" w:hAnsiTheme="minorHAnsi"/>
        </w:rPr>
        <w:t>-</w:t>
      </w:r>
      <w:proofErr w:type="spellStart"/>
      <w:r w:rsidRPr="00B558D2">
        <w:rPr>
          <w:rFonts w:asciiTheme="minorHAnsi" w:hAnsiTheme="minorHAnsi"/>
        </w:rPr>
        <w:t>tree</w:t>
      </w:r>
      <w:proofErr w:type="spellEnd"/>
      <w:r w:rsidRPr="00B558D2">
        <w:rPr>
          <w:rFonts w:asciiTheme="minorHAnsi" w:hAnsiTheme="minorHAnsi"/>
        </w:rPr>
        <w:t xml:space="preserve">, </w:t>
      </w:r>
      <w:proofErr w:type="spellStart"/>
      <w:r w:rsidRPr="00B558D2">
        <w:rPr>
          <w:rFonts w:asciiTheme="minorHAnsi" w:hAnsiTheme="minorHAnsi"/>
        </w:rPr>
        <w:t>clustering</w:t>
      </w:r>
      <w:proofErr w:type="spellEnd"/>
      <w:r w:rsidRPr="00B558D2">
        <w:rPr>
          <w:rFonts w:asciiTheme="minorHAnsi" w:hAnsiTheme="minorHAnsi"/>
        </w:rPr>
        <w:t>, etc.) sont mises en œuvre pour assurer une tolérance aux pannes maximale.</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6" w:name="_Toc298344822"/>
      <w:r w:rsidRPr="00B558D2">
        <w:rPr>
          <w:rFonts w:asciiTheme="minorHAnsi" w:hAnsiTheme="minorHAnsi"/>
        </w:rPr>
        <w:t>La gestion informatique</w:t>
      </w:r>
      <w:bookmarkEnd w:id="6"/>
    </w:p>
    <w:p w:rsidR="00B558D2" w:rsidRPr="00B558D2" w:rsidRDefault="00B558D2" w:rsidP="00B558D2">
      <w:pPr>
        <w:jc w:val="both"/>
        <w:rPr>
          <w:rFonts w:asciiTheme="minorHAnsi" w:hAnsiTheme="minorHAnsi"/>
        </w:rPr>
      </w:pPr>
      <w:r w:rsidRPr="00B558D2">
        <w:rPr>
          <w:rFonts w:asciiTheme="minorHAnsi" w:hAnsiTheme="minorHAnsi"/>
        </w:rPr>
        <w:t xml:space="preserve">La DSI (Direction des Services Informatiques) est une entité importante de la structure Europe qui participe aux choix stratégiques. </w:t>
      </w:r>
    </w:p>
    <w:p w:rsidR="00B558D2" w:rsidRPr="00B558D2" w:rsidRDefault="00B558D2" w:rsidP="00B558D2">
      <w:pPr>
        <w:jc w:val="both"/>
        <w:rPr>
          <w:rFonts w:asciiTheme="minorHAnsi" w:hAnsiTheme="minorHAnsi"/>
        </w:rPr>
      </w:pPr>
      <w:r w:rsidRPr="00B558D2">
        <w:rPr>
          <w:rFonts w:asciiTheme="minorHAnsi" w:hAnsiTheme="minorHAnsi"/>
        </w:rPr>
        <w:t xml:space="preserve">Pour </w:t>
      </w:r>
      <w:proofErr w:type="spellStart"/>
      <w:r w:rsidRPr="00B558D2">
        <w:rPr>
          <w:rFonts w:asciiTheme="minorHAnsi" w:hAnsiTheme="minorHAnsi"/>
        </w:rPr>
        <w:t>Swiss</w:t>
      </w:r>
      <w:proofErr w:type="spellEnd"/>
      <w:r w:rsidRPr="00B558D2">
        <w:rPr>
          <w:rFonts w:asciiTheme="minorHAnsi" w:hAnsiTheme="minorHAnsi"/>
        </w:rPr>
        <w:t>-Bourdin, qui occupait le siège parisien avant la fusion, l'outil informatique et l'utilisation d'outils décisionnels pour améliorer la vision et la planification de l'activité ont toujours fait partie de la politique maison, en particulier pour ce qui concerne la partie recherche, production, communication et juridique.</w:t>
      </w:r>
    </w:p>
    <w:p w:rsidR="00B558D2" w:rsidRPr="00B558D2" w:rsidRDefault="00B558D2" w:rsidP="00B558D2">
      <w:pPr>
        <w:jc w:val="both"/>
        <w:rPr>
          <w:rFonts w:asciiTheme="minorHAnsi" w:hAnsiTheme="minorHAnsi"/>
          <w:i/>
          <w:color w:val="C00000"/>
        </w:rPr>
      </w:pPr>
      <w:r w:rsidRPr="00B558D2">
        <w:rPr>
          <w:rFonts w:asciiTheme="minorHAnsi" w:hAnsiTheme="minorHAnsi"/>
          <w:b/>
          <w:i/>
          <w:color w:val="C00000"/>
        </w:rPr>
        <w:t xml:space="preserve">La partie commerciale a été le parent pauvre de cette informatisation, les visiteurs étant vus comme des acteurs distants autonomes. La DSI a convaincu l'entreprise que l'intégration des données fournies par cette partie aura un impact important sur l'ensemble de l'activité. </w:t>
      </w:r>
    </w:p>
    <w:p w:rsidR="00B558D2" w:rsidRPr="00B558D2" w:rsidRDefault="00B558D2" w:rsidP="00B558D2">
      <w:pPr>
        <w:jc w:val="both"/>
        <w:rPr>
          <w:rFonts w:asciiTheme="minorHAnsi" w:hAnsiTheme="minorHAnsi"/>
        </w:rPr>
      </w:pPr>
    </w:p>
    <w:p w:rsidR="00B558D2" w:rsidRPr="00B558D2" w:rsidRDefault="00B558D2" w:rsidP="00B558D2">
      <w:pPr>
        <w:pStyle w:val="Titre3"/>
        <w:jc w:val="both"/>
        <w:rPr>
          <w:rFonts w:asciiTheme="minorHAnsi" w:hAnsiTheme="minorHAnsi"/>
        </w:rPr>
      </w:pPr>
      <w:bookmarkStart w:id="7" w:name="_Toc298344823"/>
      <w:r w:rsidRPr="00B558D2">
        <w:rPr>
          <w:rFonts w:asciiTheme="minorHAnsi" w:hAnsiTheme="minorHAnsi"/>
        </w:rPr>
        <w:t>L'équipement</w:t>
      </w:r>
      <w:bookmarkEnd w:id="7"/>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L'informatique est fortement répandue sur le site. Chaque employé est équipé d'un poste fixe relié au système central. On dénombre ainsi plus de 350 équipements terminaux et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On trouve aussi des stations de travail plus puissantes dans la partie </w:t>
      </w:r>
      <w:r w:rsidRPr="00B558D2">
        <w:rPr>
          <w:rFonts w:asciiTheme="minorHAnsi" w:hAnsiTheme="minorHAnsi"/>
          <w:i/>
        </w:rPr>
        <w:t>labo-recherche</w:t>
      </w:r>
      <w:r w:rsidRPr="00B558D2">
        <w:rPr>
          <w:rFonts w:asciiTheme="minorHAnsi" w:hAnsiTheme="minorHAnsi"/>
        </w:rPr>
        <w:t xml:space="preserve">, et une multitude d'ordinateurs portables (personnels de direction, service informatique, services commerciaux, </w:t>
      </w:r>
      <w:proofErr w:type="spellStart"/>
      <w:r w:rsidRPr="00B558D2">
        <w:rPr>
          <w:rFonts w:asciiTheme="minorHAnsi" w:hAnsiTheme="minorHAnsi"/>
        </w:rPr>
        <w:t>etc</w:t>
      </w:r>
      <w:proofErr w:type="spellEnd"/>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 </w:t>
      </w:r>
    </w:p>
    <w:p w:rsidR="00B558D2" w:rsidRPr="00B558D2" w:rsidRDefault="00B558D2" w:rsidP="00B558D2">
      <w:pPr>
        <w:jc w:val="both"/>
        <w:rPr>
          <w:rFonts w:asciiTheme="minorHAnsi" w:hAnsiTheme="minorHAnsi"/>
        </w:rPr>
      </w:pPr>
      <w:r w:rsidRPr="00B558D2">
        <w:rPr>
          <w:rFonts w:asciiTheme="minorHAnsi" w:hAnsiTheme="minorHAnsi"/>
        </w:rPr>
        <w:t xml:space="preserve">Les visiteurs médicaux reçoivent une indemnité bisannuelle pour s'équiper en informatique (politique </w:t>
      </w:r>
      <w:proofErr w:type="spellStart"/>
      <w:r w:rsidRPr="00B558D2">
        <w:rPr>
          <w:rFonts w:asciiTheme="minorHAnsi" w:hAnsiTheme="minorHAnsi"/>
        </w:rPr>
        <w:t>Swiss</w:t>
      </w:r>
      <w:proofErr w:type="spellEnd"/>
      <w:r w:rsidRPr="00B558D2">
        <w:rPr>
          <w:rFonts w:asciiTheme="minorHAnsi" w:hAnsiTheme="minorHAnsi"/>
        </w:rPr>
        <w:t xml:space="preserve">-Bourdin) ou une dotation en équipement (politique </w:t>
      </w:r>
      <w:proofErr w:type="spellStart"/>
      <w:r w:rsidRPr="00B558D2">
        <w:rPr>
          <w:rFonts w:asciiTheme="minorHAnsi" w:hAnsiTheme="minorHAnsi"/>
        </w:rPr>
        <w:t>Galaxy</w:t>
      </w:r>
      <w:proofErr w:type="spellEnd"/>
      <w:r w:rsidRPr="00B558D2">
        <w:rPr>
          <w:rFonts w:asciiTheme="minorHAnsi" w:hAnsiTheme="minorHAnsi"/>
        </w:rPr>
        <w:t xml:space="preserve">). Il n'y a pas à l'heure actuelle d'uniformisation des machines ni du mode de fonctionnement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Chaque employé de l'entreprise a une adresse de messagerie de la forme </w:t>
      </w:r>
      <w:r w:rsidRPr="00B558D2">
        <w:rPr>
          <w:rFonts w:asciiTheme="minorHAnsi" w:hAnsiTheme="minorHAnsi"/>
          <w:i/>
        </w:rPr>
        <w:t>nomUtilisateur@swiss-galaxy.com</w:t>
      </w:r>
      <w:r w:rsidRPr="00B558D2">
        <w:rPr>
          <w:rFonts w:asciiTheme="minorHAnsi" w:hAnsiTheme="minorHAnsi"/>
        </w:rPr>
        <w:t xml:space="preserve">. Les anciennes adresses de chaque laboratoire ont été définitivement fermées au 1er janvier 2011. </w:t>
      </w:r>
    </w:p>
    <w:p w:rsidR="00B558D2" w:rsidRPr="00B558D2" w:rsidRDefault="00B558D2" w:rsidP="00B558D2">
      <w:pPr>
        <w:pStyle w:val="Titre2"/>
        <w:keepNext w:val="0"/>
        <w:keepLines w:val="0"/>
        <w:numPr>
          <w:ilvl w:val="1"/>
          <w:numId w:val="1"/>
        </w:numPr>
        <w:suppressAutoHyphens/>
        <w:spacing w:before="280" w:after="280"/>
        <w:jc w:val="both"/>
        <w:rPr>
          <w:rFonts w:asciiTheme="minorHAnsi" w:hAnsiTheme="minorHAnsi"/>
        </w:rPr>
      </w:pPr>
      <w:r w:rsidRPr="00B558D2">
        <w:rPr>
          <w:rFonts w:asciiTheme="minorHAnsi" w:hAnsiTheme="minorHAnsi"/>
        </w:rPr>
        <w:br w:type="page"/>
      </w:r>
      <w:bookmarkStart w:id="8" w:name="_Toc298344824"/>
      <w:r w:rsidRPr="00B558D2">
        <w:rPr>
          <w:rFonts w:asciiTheme="minorHAnsi" w:hAnsiTheme="minorHAnsi"/>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176.55pt;margin-top:42.95pt;width:299.25pt;height:337.5pt;z-index:251661312" wrapcoords="1949 96 1949 864 866 1632 704 1680 650 10848 217 10848 217 11328 650 11616 650 20544 1137 20832 1949 20832 1949 21504 21600 21504 21600 96 1949 96">
            <v:imagedata r:id="rId9" o:title=""/>
            <w10:wrap type="tight"/>
          </v:shape>
          <o:OLEObject Type="Embed" ProgID="Visio.Drawing.11" ShapeID="_x0000_s1043" DrawAspect="Content" ObjectID="_1409661823" r:id="rId10"/>
        </w:pict>
      </w:r>
      <w:r w:rsidRPr="00B558D2">
        <w:rPr>
          <w:rFonts w:asciiTheme="minorHAnsi" w:hAnsiTheme="minorHAnsi"/>
        </w:rPr>
        <w:pict>
          <v:shape id="_x0000_s1044" type="#_x0000_t75" style="position:absolute;left:0;text-align:left;margin-left:176.55pt;margin-top:42.95pt;width:299.2pt;height:345.05pt;z-index:251662336;mso-wrap-distance-left:9.05pt;mso-wrap-distance-right:9.05pt" wrapcoords="1947 94 1947 862 864 1630 702 1678 648 10846 215 10846 215 11326 648 11614 648 20542 1135 20830 1947 20830 1947 21502 21600 21502 21600 94 1947 94" filled="t">
            <v:fill color2="black"/>
            <v:imagedata r:id="rId11" o:title=""/>
            <w10:wrap type="tight"/>
          </v:shape>
          <o:OLEObject Type="Embed" ProgID="Visio.Drawing.11" ShapeID="_x0000_s1044" DrawAspect="Content" ObjectID="_1409661824" r:id="rId12"/>
        </w:pict>
      </w:r>
      <w:bookmarkStart w:id="9" w:name="__RefHeading__19_648499181"/>
      <w:bookmarkEnd w:id="9"/>
      <w:r w:rsidRPr="00B558D2">
        <w:rPr>
          <w:rFonts w:asciiTheme="minorHAnsi" w:hAnsiTheme="minorHAnsi"/>
        </w:rPr>
        <w:t>Organisation du réseau</w:t>
      </w:r>
      <w:bookmarkEnd w:id="8"/>
    </w:p>
    <w:p w:rsidR="00B558D2" w:rsidRPr="00B558D2" w:rsidRDefault="00B558D2" w:rsidP="00B558D2">
      <w:pPr>
        <w:pStyle w:val="Titre3"/>
        <w:keepNext w:val="0"/>
        <w:keepLines w:val="0"/>
        <w:numPr>
          <w:ilvl w:val="2"/>
          <w:numId w:val="1"/>
        </w:numPr>
        <w:suppressAutoHyphens/>
        <w:spacing w:before="0"/>
        <w:rPr>
          <w:rFonts w:asciiTheme="minorHAnsi" w:hAnsiTheme="minorHAnsi"/>
        </w:rPr>
      </w:pPr>
      <w:bookmarkStart w:id="10" w:name="__RefHeading__21_648499181"/>
      <w:bookmarkStart w:id="11" w:name="_Toc298344825"/>
      <w:bookmarkEnd w:id="10"/>
      <w:r w:rsidRPr="00B558D2">
        <w:rPr>
          <w:rFonts w:asciiTheme="minorHAnsi" w:hAnsiTheme="minorHAnsi"/>
        </w:rPr>
        <w:t>Répartition des services</w:t>
      </w:r>
      <w:bookmarkEnd w:id="11"/>
    </w:p>
    <w:p w:rsidR="00B558D2" w:rsidRPr="00B558D2" w:rsidRDefault="00B558D2" w:rsidP="00B558D2">
      <w:pPr>
        <w:jc w:val="both"/>
        <w:rPr>
          <w:rFonts w:asciiTheme="minorHAnsi" w:hAnsiTheme="minorHAnsi"/>
        </w:rPr>
      </w:pPr>
      <w:r w:rsidRPr="00B558D2">
        <w:rPr>
          <w:rFonts w:asciiTheme="minorHAnsi" w:hAnsiTheme="minorHAnsi"/>
        </w:rPr>
        <w:t xml:space="preserve">Chaque étage dispose d'une baie de brassage qui le relie par une fibre à la baie centrale de la salle serveurs.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Toutes les salles de réunion sont équipées d'un point d'accès Wifi positionné par défaut dans le VLAN "Visiteurs" qui autorise uniquement un accès Internet. </w:t>
      </w:r>
    </w:p>
    <w:p w:rsidR="00B558D2" w:rsidRPr="00B558D2" w:rsidRDefault="00B558D2" w:rsidP="00B558D2">
      <w:pPr>
        <w:jc w:val="both"/>
        <w:rPr>
          <w:rFonts w:asciiTheme="minorHAnsi" w:hAnsiTheme="minorHAnsi"/>
        </w:rPr>
      </w:pPr>
      <w:r w:rsidRPr="00B558D2">
        <w:rPr>
          <w:rFonts w:asciiTheme="minorHAnsi" w:hAnsiTheme="minorHAnsi"/>
        </w:rPr>
        <w:t>Les portables connectés en wifi à ce point d'accès reçoivent ainsi une adresse IP et n'ont, par conséquent accès qu'aux services DHCP et DNS.</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Le point d’accès peut être configuré à la demande pour être raccordé à un VLAN présent au niveau de l'étage.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Chaque salle de réunion dispose d'un vidéoprojecteur, d'enceintes et d'un tableau numérique interactif.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La salle "Démonstration" est destinée à l'accueil des organismes de santé (AFSSAPS notamment) et des partenaires scientifiques. Elle dispose de paillasses et d'équipements de laboratoire, en plus d'une salle de réunion.</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rPr>
          <w:rFonts w:asciiTheme="minorHAnsi" w:hAnsiTheme="minorHAnsi"/>
        </w:rPr>
      </w:pPr>
      <w:bookmarkStart w:id="12" w:name="__RefHeading__23_648499181"/>
      <w:bookmarkStart w:id="13" w:name="_Toc298344826"/>
      <w:bookmarkEnd w:id="12"/>
      <w:r w:rsidRPr="00B558D2">
        <w:rPr>
          <w:rFonts w:asciiTheme="minorHAnsi" w:hAnsiTheme="minorHAnsi"/>
        </w:rPr>
        <w:t>Segmentation</w:t>
      </w:r>
      <w:bookmarkEnd w:id="13"/>
    </w:p>
    <w:p w:rsidR="00B558D2" w:rsidRPr="00B558D2" w:rsidRDefault="00B558D2" w:rsidP="00B558D2">
      <w:pPr>
        <w:jc w:val="both"/>
        <w:rPr>
          <w:rFonts w:asciiTheme="minorHAnsi" w:hAnsiTheme="minorHAnsi"/>
        </w:rPr>
      </w:pPr>
      <w:r w:rsidRPr="00B558D2">
        <w:rPr>
          <w:rFonts w:asciiTheme="minorHAnsi" w:hAnsiTheme="minorHAnsi"/>
        </w:rPr>
        <w:t xml:space="preserve">L'organisation des VLAN et de l'adressage IP est la suivante : </w:t>
      </w:r>
    </w:p>
    <w:tbl>
      <w:tblPr>
        <w:tblW w:w="0" w:type="auto"/>
        <w:tblInd w:w="-5" w:type="dxa"/>
        <w:tblLayout w:type="fixed"/>
        <w:tblLook w:val="0000"/>
      </w:tblPr>
      <w:tblGrid>
        <w:gridCol w:w="1101"/>
        <w:gridCol w:w="2551"/>
        <w:gridCol w:w="1853"/>
      </w:tblGrid>
      <w:tr w:rsidR="00B558D2" w:rsidRPr="00B558D2" w:rsidTr="00041871">
        <w:tc>
          <w:tcPr>
            <w:tcW w:w="1101" w:type="dxa"/>
            <w:tcBorders>
              <w:top w:val="single" w:sz="4" w:space="0" w:color="000000"/>
              <w:left w:val="single" w:sz="4" w:space="0" w:color="000000"/>
              <w:bottom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N° VLAN</w:t>
            </w:r>
          </w:p>
        </w:tc>
        <w:tc>
          <w:tcPr>
            <w:tcW w:w="2551" w:type="dxa"/>
            <w:tcBorders>
              <w:top w:val="single" w:sz="4" w:space="0" w:color="000000"/>
              <w:left w:val="single" w:sz="4" w:space="0" w:color="000000"/>
              <w:bottom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Service(s)</w:t>
            </w:r>
          </w:p>
        </w:tc>
        <w:tc>
          <w:tcPr>
            <w:tcW w:w="1853" w:type="dxa"/>
            <w:tcBorders>
              <w:top w:val="single" w:sz="4" w:space="0" w:color="000000"/>
              <w:left w:val="single" w:sz="4" w:space="0" w:color="000000"/>
              <w:bottom w:val="single" w:sz="4" w:space="0" w:color="000000"/>
              <w:right w:val="single" w:sz="4" w:space="0" w:color="000000"/>
            </w:tcBorders>
            <w:shd w:val="clear" w:color="auto" w:fill="C6D9F1"/>
          </w:tcPr>
          <w:p w:rsidR="00B558D2" w:rsidRPr="00B558D2" w:rsidRDefault="00B558D2" w:rsidP="00041871">
            <w:pPr>
              <w:snapToGrid w:val="0"/>
              <w:jc w:val="center"/>
              <w:rPr>
                <w:rFonts w:asciiTheme="minorHAnsi" w:hAnsiTheme="minorHAnsi"/>
                <w:b/>
                <w:i/>
                <w:color w:val="1F497D"/>
              </w:rPr>
            </w:pPr>
            <w:r w:rsidRPr="00B558D2">
              <w:rPr>
                <w:rFonts w:asciiTheme="minorHAnsi" w:hAnsiTheme="minorHAnsi"/>
                <w:b/>
                <w:i/>
                <w:color w:val="1F497D"/>
              </w:rPr>
              <w:t>Adressage IP</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Réseau &amp; Système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20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Direction / DSI</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192.168.20.0/24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30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RH / Compta / Juridique / Secrétariat Administratif</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192.168.30.0/24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40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Communication / Rédaction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192.168.40.0/24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50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Développement</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192.168.50.0/24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60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Commercial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192.168.60.0/24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70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Labo-Recherche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192.168.70.0/24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Accueil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192.168.100.0/24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150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Visiteurs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192.168.150.0/24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200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Démonstration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192.168.200.0/24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300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Serveurs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172.16.0.0/24</w:t>
            </w:r>
          </w:p>
        </w:tc>
      </w:tr>
      <w:tr w:rsidR="00B558D2" w:rsidRPr="00B558D2" w:rsidTr="00041871">
        <w:tc>
          <w:tcPr>
            <w:tcW w:w="110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400</w:t>
            </w:r>
          </w:p>
        </w:tc>
        <w:tc>
          <w:tcPr>
            <w:tcW w:w="2551" w:type="dxa"/>
            <w:tcBorders>
              <w:top w:val="single" w:sz="4" w:space="0" w:color="000000"/>
              <w:left w:val="single" w:sz="4" w:space="0" w:color="000000"/>
              <w:bottom w:val="single" w:sz="4" w:space="0" w:color="000000"/>
            </w:tcBorders>
            <w:shd w:val="clear" w:color="auto" w:fill="auto"/>
          </w:tcPr>
          <w:p w:rsidR="00B558D2" w:rsidRPr="00B558D2" w:rsidRDefault="00B558D2" w:rsidP="00041871">
            <w:pPr>
              <w:snapToGrid w:val="0"/>
              <w:rPr>
                <w:rFonts w:asciiTheme="minorHAnsi" w:hAnsiTheme="minorHAnsi"/>
              </w:rPr>
            </w:pPr>
            <w:r w:rsidRPr="00B558D2">
              <w:rPr>
                <w:rFonts w:asciiTheme="minorHAnsi" w:hAnsiTheme="minorHAnsi"/>
              </w:rPr>
              <w:t>Sortie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B558D2" w:rsidRPr="00B558D2" w:rsidRDefault="00B558D2" w:rsidP="00041871">
            <w:pPr>
              <w:snapToGrid w:val="0"/>
              <w:jc w:val="right"/>
              <w:rPr>
                <w:rFonts w:asciiTheme="minorHAnsi" w:hAnsiTheme="minorHAnsi"/>
              </w:rPr>
            </w:pPr>
            <w:r w:rsidRPr="00B558D2">
              <w:rPr>
                <w:rFonts w:asciiTheme="minorHAnsi" w:hAnsiTheme="minorHAnsi"/>
              </w:rPr>
              <w:t>172.18.0.0/30</w:t>
            </w:r>
          </w:p>
        </w:tc>
      </w:tr>
    </w:tbl>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règles actuelles concernant les </w:t>
      </w:r>
      <w:proofErr w:type="spellStart"/>
      <w:r w:rsidRPr="00B558D2">
        <w:rPr>
          <w:rFonts w:asciiTheme="minorHAnsi" w:hAnsiTheme="minorHAnsi"/>
        </w:rPr>
        <w:t>vlans</w:t>
      </w:r>
      <w:proofErr w:type="spellEnd"/>
      <w:r w:rsidRPr="00B558D2">
        <w:rPr>
          <w:rFonts w:asciiTheme="minorHAnsi" w:hAnsiTheme="minorHAnsi"/>
        </w:rPr>
        <w:t xml:space="preserve"> sont les suivantes :</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 xml:space="preserve">chaque vlan (sauf le vlan visiteur) peut uniquement accéder (quel que soit le protocole) aux </w:t>
      </w:r>
      <w:proofErr w:type="spellStart"/>
      <w:r w:rsidRPr="00B558D2">
        <w:rPr>
          <w:rFonts w:asciiTheme="minorHAnsi" w:hAnsiTheme="minorHAnsi"/>
        </w:rPr>
        <w:t>vlans</w:t>
      </w:r>
      <w:proofErr w:type="spellEnd"/>
      <w:r w:rsidRPr="00B558D2">
        <w:rPr>
          <w:rFonts w:asciiTheme="minorHAnsi" w:hAnsiTheme="minorHAnsi"/>
        </w:rPr>
        <w:t xml:space="preserve"> "Serveurs" et "Sortie";</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 xml:space="preserve">le vlan "Visiteurs" peut uniquement accéder </w:t>
      </w:r>
      <w:proofErr w:type="gramStart"/>
      <w:r w:rsidRPr="00B558D2">
        <w:rPr>
          <w:rFonts w:asciiTheme="minorHAnsi" w:hAnsiTheme="minorHAnsi"/>
        </w:rPr>
        <w:t>aux serveur</w:t>
      </w:r>
      <w:proofErr w:type="gramEnd"/>
      <w:r w:rsidRPr="00B558D2">
        <w:rPr>
          <w:rFonts w:asciiTheme="minorHAnsi" w:hAnsiTheme="minorHAnsi"/>
        </w:rPr>
        <w:t xml:space="preserve"> </w:t>
      </w:r>
      <w:proofErr w:type="spellStart"/>
      <w:r w:rsidRPr="00B558D2">
        <w:rPr>
          <w:rFonts w:asciiTheme="minorHAnsi" w:hAnsiTheme="minorHAnsi"/>
        </w:rPr>
        <w:t>dns</w:t>
      </w:r>
      <w:proofErr w:type="spellEnd"/>
      <w:r w:rsidRPr="00B558D2">
        <w:rPr>
          <w:rFonts w:asciiTheme="minorHAnsi" w:hAnsiTheme="minorHAnsi"/>
        </w:rPr>
        <w:t xml:space="preserve"> et </w:t>
      </w:r>
      <w:proofErr w:type="spellStart"/>
      <w:r w:rsidRPr="00B558D2">
        <w:rPr>
          <w:rFonts w:asciiTheme="minorHAnsi" w:hAnsiTheme="minorHAnsi"/>
        </w:rPr>
        <w:t>dhcp</w:t>
      </w:r>
      <w:proofErr w:type="spellEnd"/>
      <w:r w:rsidRPr="00B558D2">
        <w:rPr>
          <w:rFonts w:asciiTheme="minorHAnsi" w:hAnsiTheme="minorHAnsi"/>
        </w:rPr>
        <w:t xml:space="preserve"> et  sortir sur internet ;</w:t>
      </w:r>
    </w:p>
    <w:p w:rsidR="00B558D2" w:rsidRPr="00B558D2" w:rsidRDefault="00B558D2" w:rsidP="00B558D2">
      <w:pPr>
        <w:numPr>
          <w:ilvl w:val="0"/>
          <w:numId w:val="3"/>
        </w:numPr>
        <w:suppressAutoHyphens/>
        <w:rPr>
          <w:rFonts w:asciiTheme="minorHAnsi" w:hAnsiTheme="minorHAnsi"/>
        </w:rPr>
      </w:pPr>
      <w:r w:rsidRPr="00B558D2">
        <w:rPr>
          <w:rFonts w:asciiTheme="minorHAnsi" w:hAnsiTheme="minorHAnsi"/>
        </w:rPr>
        <w:t>l'adresse IP de chaque vlan est la première adresse immédiatement disponible du réseau.</w:t>
      </w:r>
    </w:p>
    <w:p w:rsidR="00B558D2" w:rsidRPr="00B558D2" w:rsidRDefault="00B558D2" w:rsidP="00B558D2">
      <w:pPr>
        <w:pStyle w:val="Titre2"/>
        <w:keepNext w:val="0"/>
        <w:keepLines w:val="0"/>
        <w:pageBreakBefore/>
        <w:numPr>
          <w:ilvl w:val="1"/>
          <w:numId w:val="1"/>
        </w:numPr>
        <w:suppressAutoHyphens/>
        <w:spacing w:before="280" w:after="280"/>
        <w:rPr>
          <w:rFonts w:asciiTheme="minorHAnsi" w:hAnsiTheme="minorHAnsi"/>
        </w:rPr>
      </w:pPr>
      <w:bookmarkStart w:id="14" w:name="__RefHeading__25_648499181"/>
      <w:bookmarkStart w:id="15" w:name="_Toc298344827"/>
      <w:bookmarkEnd w:id="14"/>
      <w:r w:rsidRPr="00B558D2">
        <w:rPr>
          <w:rFonts w:asciiTheme="minorHAnsi" w:hAnsiTheme="minorHAnsi"/>
        </w:rPr>
        <w:lastRenderedPageBreak/>
        <w:t>Salle serveur et connexion internet</w:t>
      </w:r>
      <w:bookmarkEnd w:id="15"/>
    </w:p>
    <w:p w:rsidR="00B558D2" w:rsidRPr="00B558D2" w:rsidRDefault="00B558D2" w:rsidP="00B558D2">
      <w:pPr>
        <w:rPr>
          <w:rFonts w:asciiTheme="minorHAnsi" w:hAnsiTheme="minorHAnsi"/>
        </w:rPr>
      </w:pPr>
      <w:r w:rsidRPr="00B558D2">
        <w:rPr>
          <w:rFonts w:asciiTheme="minorHAnsi" w:hAnsiTheme="minorHAnsi"/>
        </w:rPr>
        <w:t xml:space="preserve">L'organisation des serveurs est la suivante. Il n’est pas précisé si les serveurs sont </w:t>
      </w:r>
      <w:proofErr w:type="spellStart"/>
      <w:r w:rsidRPr="00B558D2">
        <w:rPr>
          <w:rFonts w:asciiTheme="minorHAnsi" w:hAnsiTheme="minorHAnsi"/>
        </w:rPr>
        <w:t>virtualisées</w:t>
      </w:r>
      <w:proofErr w:type="spellEnd"/>
      <w:r w:rsidRPr="00B558D2">
        <w:rPr>
          <w:rFonts w:asciiTheme="minorHAnsi" w:hAnsiTheme="minorHAnsi"/>
        </w:rPr>
        <w:t xml:space="preserve"> ou non. </w:t>
      </w:r>
    </w:p>
    <w:p w:rsidR="00B558D2" w:rsidRPr="00B558D2" w:rsidRDefault="00B558D2" w:rsidP="00B558D2">
      <w:pPr>
        <w:rPr>
          <w:rFonts w:asciiTheme="minorHAnsi" w:hAnsiTheme="minorHAnsi"/>
        </w:rPr>
      </w:pPr>
      <w:r w:rsidRPr="00B558D2">
        <w:rPr>
          <w:rFonts w:asciiTheme="minorHAnsi" w:hAnsiTheme="minorHAnsi"/>
        </w:rPr>
        <w:t xml:space="preserve">Seuls les serveurs principaux sont présentés, les redondances n'apparaissent pas. </w:t>
      </w:r>
    </w:p>
    <w:p w:rsidR="00B558D2" w:rsidRPr="00B558D2" w:rsidRDefault="00B558D2" w:rsidP="00B558D2">
      <w:pPr>
        <w:jc w:val="both"/>
        <w:rPr>
          <w:rFonts w:asciiTheme="minorHAnsi" w:hAnsiTheme="minorHAnsi"/>
        </w:rPr>
      </w:pPr>
      <w:r w:rsidRPr="00B558D2">
        <w:rPr>
          <w:rFonts w:asciiTheme="minorHAnsi" w:hAnsiTheme="minorHAnsi"/>
        </w:rPr>
        <w:object w:dxaOrig="20354" w:dyaOrig="13216">
          <v:shape id="_x0000_i1025" type="#_x0000_t75" style="width:453pt;height:294pt" o:ole="" filled="t">
            <v:fill color2="black"/>
            <v:imagedata r:id="rId13" o:title=""/>
          </v:shape>
          <o:OLEObject Type="Embed" ProgID="Visio.Drawing.11" ShapeID="_x0000_i1025" DrawAspect="Content" ObjectID="_1409661821" r:id="rId14"/>
        </w:objec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bases de données des serveurs BDMED et BDPHARMA sont achetées auprès d'organismes extérieurs.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commutateur MUTLAB assure un fonctionnement de niveau 3. À ce titre, il réalise un routage inter-vlan en limitant les communications grâce à des listes de contrôles d'accès (ACL).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La messagerie publique </w:t>
      </w:r>
      <w:r w:rsidRPr="00B558D2">
        <w:rPr>
          <w:rFonts w:asciiTheme="minorHAnsi" w:hAnsiTheme="minorHAnsi"/>
          <w:i/>
        </w:rPr>
        <w:t>@swiss-galxy.com</w:t>
      </w:r>
      <w:r w:rsidRPr="00B558D2">
        <w:rPr>
          <w:rFonts w:asciiTheme="minorHAnsi" w:hAnsiTheme="minorHAnsi"/>
        </w:rPr>
        <w:t xml:space="preserve"> est hébergée aux États-Unis. </w:t>
      </w:r>
    </w:p>
    <w:p w:rsidR="00B558D2" w:rsidRPr="00B558D2" w:rsidRDefault="00B558D2" w:rsidP="00B558D2">
      <w:pPr>
        <w:jc w:val="both"/>
        <w:rPr>
          <w:rFonts w:asciiTheme="minorHAnsi" w:hAnsiTheme="minorHAnsi"/>
        </w:rPr>
      </w:pPr>
    </w:p>
    <w:p w:rsidR="00B558D2" w:rsidRPr="00B558D2" w:rsidRDefault="00B558D2" w:rsidP="00B558D2">
      <w:pPr>
        <w:pStyle w:val="Titre2"/>
        <w:keepNext w:val="0"/>
        <w:keepLines w:val="0"/>
        <w:pageBreakBefore/>
        <w:numPr>
          <w:ilvl w:val="1"/>
          <w:numId w:val="1"/>
        </w:numPr>
        <w:suppressAutoHyphens/>
        <w:spacing w:before="280" w:after="280"/>
        <w:jc w:val="both"/>
        <w:rPr>
          <w:rFonts w:asciiTheme="minorHAnsi" w:hAnsiTheme="minorHAnsi"/>
        </w:rPr>
      </w:pPr>
      <w:bookmarkStart w:id="16" w:name="__RefHeading__27_648499181"/>
      <w:bookmarkStart w:id="17" w:name="_Toc298344828"/>
      <w:bookmarkEnd w:id="16"/>
      <w:r w:rsidRPr="00B558D2">
        <w:rPr>
          <w:rFonts w:asciiTheme="minorHAnsi" w:hAnsiTheme="minorHAnsi"/>
        </w:rPr>
        <w:lastRenderedPageBreak/>
        <w:t>Domaine d'étude</w:t>
      </w:r>
      <w:bookmarkEnd w:id="17"/>
    </w:p>
    <w:p w:rsidR="00B558D2" w:rsidRPr="00B558D2" w:rsidRDefault="00B558D2" w:rsidP="00B558D2">
      <w:pPr>
        <w:jc w:val="both"/>
        <w:rPr>
          <w:rFonts w:asciiTheme="minorHAnsi" w:hAnsiTheme="minorHAnsi"/>
        </w:rPr>
      </w:pPr>
      <w:r w:rsidRPr="00B558D2">
        <w:rPr>
          <w:rFonts w:asciiTheme="minorHAnsi" w:hAnsiTheme="minorHAnsi"/>
        </w:rPr>
        <w:t>L'entreprise souhaite porter une attention nouvelle à sa force commerciale dans un double objectif : obtenir une vision plus régulière et efficace de l'activité menée sur le terrain auprès des praticiens, mais aussi  redonner confiance aux équipes malmenées par les fusions récentes.</w:t>
      </w: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jc w:val="both"/>
        <w:rPr>
          <w:rFonts w:asciiTheme="minorHAnsi" w:hAnsiTheme="minorHAnsi"/>
        </w:rPr>
      </w:pPr>
      <w:bookmarkStart w:id="18" w:name="__RefHeading__29_648499181"/>
      <w:bookmarkStart w:id="19" w:name="_Toc298344829"/>
      <w:bookmarkEnd w:id="18"/>
      <w:r w:rsidRPr="00B558D2">
        <w:rPr>
          <w:rFonts w:asciiTheme="minorHAnsi" w:hAnsiTheme="minorHAnsi"/>
        </w:rPr>
        <w:t>Les visiteurs</w:t>
      </w:r>
      <w:bookmarkEnd w:id="19"/>
    </w:p>
    <w:p w:rsidR="00B558D2" w:rsidRPr="00B558D2" w:rsidRDefault="00B558D2" w:rsidP="00B558D2">
      <w:pPr>
        <w:jc w:val="both"/>
        <w:rPr>
          <w:rFonts w:asciiTheme="minorHAnsi" w:hAnsiTheme="minorHAnsi"/>
        </w:rPr>
      </w:pPr>
      <w:r w:rsidRPr="00B558D2">
        <w:rPr>
          <w:rFonts w:asciiTheme="minorHAnsi" w:hAnsiTheme="minorHAnsi"/>
        </w:rPr>
        <w:t>La force commerciale d'un laboratoire pharmaceutique est assurée par un travail de conseil et d'information auprès des prescripteurs. Les visiteurs médicaux (ou délégués) démarchent les médecins, pharmaciens, infirmières et autres métiers de santé susceptibles de prescrire aux patients les produits du laboratoire.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L'objectif d'une visite est d'actualiser et rafraîchir la connaissance des professionnels de santé sur les produits de l'entreprise. Les visiteurs ne font pas de vente, mais leurs interventions ont un impact certain sur la prescription de la pharmacopée du laboratoire.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Pour donner une organisation commune aux délégués médicaux, l'entreprise a adopté l'organisation de la flotte de visiteurs existant chez </w:t>
      </w:r>
      <w:proofErr w:type="spellStart"/>
      <w:r w:rsidRPr="00B558D2">
        <w:rPr>
          <w:rFonts w:asciiTheme="minorHAnsi" w:hAnsiTheme="minorHAnsi"/>
        </w:rPr>
        <w:t>Galaxy</w:t>
      </w:r>
      <w:proofErr w:type="spellEnd"/>
      <w:r w:rsidRPr="00B558D2">
        <w:rPr>
          <w:rFonts w:asciiTheme="minorHAnsi" w:hAnsiTheme="minorHAnsi"/>
        </w:rPr>
        <w:t xml:space="preserve">, selon un système hiérarchique par région et, à un niveau supérieur, par secteur géographique (Sud, Nord, paris-Centre, </w:t>
      </w:r>
      <w:proofErr w:type="spellStart"/>
      <w:r w:rsidRPr="00B558D2">
        <w:rPr>
          <w:rFonts w:asciiTheme="minorHAnsi" w:hAnsiTheme="minorHAnsi"/>
        </w:rPr>
        <w:t>etc</w:t>
      </w:r>
      <w:proofErr w:type="spellEnd"/>
      <w:r w:rsidRPr="00B558D2">
        <w:rPr>
          <w:rFonts w:asciiTheme="minorHAnsi" w:hAnsiTheme="minorHAnsi"/>
        </w:rPr>
        <w:t>).</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Il n'y a pas eu d'harmonisation de la relation entre les personnels de terrain (Visiteurs et Délégués régionaux) et les responsables de secteur. Les habitudes en cours avant la fusion ont été adaptées sans que soient données des directives au niveau local.</w:t>
      </w:r>
    </w:p>
    <w:p w:rsidR="00B558D2" w:rsidRPr="00B558D2" w:rsidRDefault="00B558D2" w:rsidP="00B558D2">
      <w:pPr>
        <w:jc w:val="both"/>
        <w:rPr>
          <w:rFonts w:asciiTheme="minorHAnsi" w:hAnsiTheme="minorHAnsi"/>
        </w:rPr>
      </w:pPr>
    </w:p>
    <w:p w:rsidR="00B558D2" w:rsidRPr="00B558D2" w:rsidRDefault="00B558D2" w:rsidP="00B558D2">
      <w:pPr>
        <w:jc w:val="center"/>
        <w:rPr>
          <w:rFonts w:asciiTheme="minorHAnsi" w:hAnsiTheme="minorHAnsi"/>
        </w:rPr>
      </w:pPr>
      <w:r w:rsidRPr="00B558D2">
        <w:rPr>
          <w:rFonts w:asciiTheme="minorHAnsi" w:hAnsiTheme="minorHAnsi"/>
        </w:rPr>
        <w:object w:dxaOrig="5765" w:dyaOrig="1926">
          <v:shape id="_x0000_i1026" type="#_x0000_t75" style="width:4in;height:96pt" o:ole="" filled="t">
            <v:fill color2="black"/>
            <v:imagedata r:id="rId15" o:title=""/>
          </v:shape>
          <o:OLEObject Type="Embed" ProgID="OrgPlusWOPX.4" ShapeID="_x0000_i1026" DrawAspect="Content" ObjectID="_1409661822" r:id="rId16"/>
        </w:objec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On souhaite améliorer le contact entre ces acteurs mobiles autonomes et les différents services du siège parisien de l'entité Europe. Il s’agit d’uniformiser la gestion du suivi des visites.</w:t>
      </w:r>
    </w:p>
    <w:p w:rsidR="00B558D2" w:rsidRPr="00B558D2" w:rsidRDefault="00B558D2" w:rsidP="00B558D2">
      <w:pPr>
        <w:jc w:val="both"/>
        <w:rPr>
          <w:rFonts w:asciiTheme="minorHAnsi" w:hAnsiTheme="minorHAnsi"/>
        </w:rPr>
      </w:pPr>
    </w:p>
    <w:p w:rsidR="00B558D2" w:rsidRPr="00B558D2" w:rsidRDefault="00B558D2" w:rsidP="00B558D2">
      <w:pPr>
        <w:pStyle w:val="Titre3"/>
        <w:keepNext w:val="0"/>
        <w:keepLines w:val="0"/>
        <w:numPr>
          <w:ilvl w:val="2"/>
          <w:numId w:val="1"/>
        </w:numPr>
        <w:suppressAutoHyphens/>
        <w:spacing w:before="0"/>
        <w:jc w:val="both"/>
        <w:rPr>
          <w:rFonts w:asciiTheme="minorHAnsi" w:hAnsiTheme="minorHAnsi"/>
        </w:rPr>
      </w:pPr>
      <w:bookmarkStart w:id="20" w:name="__RefHeading__31_648499181"/>
      <w:bookmarkStart w:id="21" w:name="_Toc298344830"/>
      <w:bookmarkEnd w:id="20"/>
      <w:r w:rsidRPr="00B558D2">
        <w:rPr>
          <w:rFonts w:asciiTheme="minorHAnsi" w:hAnsiTheme="minorHAnsi"/>
        </w:rPr>
        <w:t>Les visiteurs et les autres services</w:t>
      </w:r>
      <w:bookmarkEnd w:id="21"/>
    </w:p>
    <w:p w:rsidR="00B558D2" w:rsidRPr="00B558D2" w:rsidRDefault="00B558D2" w:rsidP="00B558D2">
      <w:pPr>
        <w:jc w:val="both"/>
        <w:rPr>
          <w:rFonts w:asciiTheme="minorHAnsi" w:hAnsiTheme="minorHAnsi"/>
        </w:rPr>
      </w:pPr>
      <w:r w:rsidRPr="00B558D2">
        <w:rPr>
          <w:rFonts w:asciiTheme="minorHAnsi" w:hAnsiTheme="minorHAnsi"/>
        </w:rPr>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rsidR="00B558D2" w:rsidRPr="00B558D2" w:rsidRDefault="00B558D2" w:rsidP="00B558D2">
      <w:pPr>
        <w:jc w:val="both"/>
        <w:rPr>
          <w:rFonts w:asciiTheme="minorHAnsi" w:hAnsiTheme="minorHAnsi"/>
        </w:rPr>
      </w:pPr>
      <w:r w:rsidRPr="00B558D2">
        <w:rPr>
          <w:rFonts w:asciiTheme="minorHAnsi" w:hAnsiTheme="minorHAnsi"/>
        </w:rPr>
        <w:t xml:space="preserve">Chez </w:t>
      </w:r>
      <w:proofErr w:type="spellStart"/>
      <w:r w:rsidRPr="00B558D2">
        <w:rPr>
          <w:rFonts w:asciiTheme="minorHAnsi" w:hAnsiTheme="minorHAnsi"/>
        </w:rPr>
        <w:t>Galaxy</w:t>
      </w:r>
      <w:proofErr w:type="spellEnd"/>
      <w:r w:rsidRPr="00B558D2">
        <w:rPr>
          <w:rFonts w:asciiTheme="minorHAnsi" w:hAnsiTheme="minorHAnsi"/>
        </w:rPr>
        <w:t xml:space="preserve">, le principe d'engagement des frais est celui de la carte bancaire au nom de l'entreprise. Chez </w:t>
      </w:r>
      <w:proofErr w:type="spellStart"/>
      <w:r w:rsidRPr="00B558D2">
        <w:rPr>
          <w:rFonts w:asciiTheme="minorHAnsi" w:hAnsiTheme="minorHAnsi"/>
        </w:rPr>
        <w:t>Swiss</w:t>
      </w:r>
      <w:proofErr w:type="spellEnd"/>
      <w:r w:rsidRPr="00B558D2">
        <w:rPr>
          <w:rFonts w:asciiTheme="minorHAnsi" w:hAnsiTheme="minorHAnsi"/>
        </w:rPr>
        <w:t>-Bourdin, une gestion forfaitaire des principaux frais permet de limiter les justificatifs. Pour tout le reste, le remboursement est fait après retour des pièces justificatives.</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Une gestion unique de ces frais et remboursement pour l'ensemble de la flotte visite est souhaitée.</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Les visiteurs récupèrent une information directe sur le terrain. Ceci concerne aussi bien le niveau de la confiance qu'inspire le laboratoire que la lisibilité des notices d'utilisation des médicaments ou encore les éventuels problèmes rencontrés lors de leur utilisation, etc</w:t>
      </w:r>
      <w:proofErr w:type="gramStart"/>
      <w:r w:rsidRPr="00B558D2">
        <w:rPr>
          <w:rFonts w:asciiTheme="minorHAnsi" w:hAnsiTheme="minorHAnsi"/>
        </w:rPr>
        <w:t>..</w:t>
      </w:r>
      <w:proofErr w:type="gramEnd"/>
    </w:p>
    <w:p w:rsidR="00B558D2" w:rsidRPr="00B558D2" w:rsidRDefault="00B558D2" w:rsidP="00B558D2">
      <w:pPr>
        <w:jc w:val="both"/>
        <w:rPr>
          <w:rFonts w:asciiTheme="minorHAnsi" w:hAnsiTheme="minorHAnsi"/>
        </w:rPr>
      </w:pPr>
      <w:r w:rsidRPr="00B558D2">
        <w:rPr>
          <w:rFonts w:asciiTheme="minorHAnsi" w:hAnsiTheme="minorHAnsi"/>
        </w:rPr>
        <w:t xml:space="preserve">Ces informations ne sont actuellement pas systématiquement remontées au siège, ou elles le sont dans des délais jugés trop longs. Le service </w:t>
      </w:r>
      <w:r w:rsidRPr="00B558D2">
        <w:rPr>
          <w:rFonts w:asciiTheme="minorHAnsi" w:hAnsiTheme="minorHAnsi"/>
          <w:i/>
        </w:rPr>
        <w:t>rédaction</w:t>
      </w:r>
      <w:r w:rsidRPr="00B558D2">
        <w:rPr>
          <w:rFonts w:asciiTheme="minorHAnsi" w:hAnsiTheme="minorHAnsi"/>
        </w:rPr>
        <w:t xml:space="preserve"> qui produit les notices souhaite avoir des remontées plus régulières et directes. Ceci permettra également au service </w:t>
      </w:r>
      <w:r w:rsidRPr="00B558D2">
        <w:rPr>
          <w:rFonts w:asciiTheme="minorHAnsi" w:hAnsiTheme="minorHAnsi"/>
          <w:i/>
        </w:rPr>
        <w:t>labo-recherche</w:t>
      </w:r>
      <w:r w:rsidRPr="00B558D2">
        <w:rPr>
          <w:rFonts w:asciiTheme="minorHAnsi" w:hAnsiTheme="minorHAnsi"/>
        </w:rPr>
        <w:t xml:space="preserve"> d’engager des évaluations complémentaires. </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 </w:t>
      </w:r>
      <w:r w:rsidRPr="00B558D2">
        <w:rPr>
          <w:rFonts w:asciiTheme="minorHAnsi" w:hAnsiTheme="minorHAnsi"/>
          <w:i/>
        </w:rPr>
        <w:t>turn-over</w:t>
      </w:r>
      <w:r w:rsidRPr="00B558D2">
        <w:rPr>
          <w:rFonts w:asciiTheme="minorHAnsi" w:hAnsiTheme="minorHAnsi"/>
        </w:rPr>
        <w:t xml:space="preserve"> des visiteurs est de plus en plus important. Pour un délégué régional et plus encore un responsable de secteur, le suivi des équipes devient une véritable activité : obtenir les coordonnées auprès des services RH lors de l'arrivée d'un nouveau personnel, réaliser un suivi personnalisé et former les recrues, etc. </w:t>
      </w:r>
    </w:p>
    <w:p w:rsidR="00B558D2" w:rsidRPr="00B558D2" w:rsidRDefault="00B558D2" w:rsidP="00B558D2">
      <w:pPr>
        <w:jc w:val="both"/>
        <w:rPr>
          <w:rFonts w:asciiTheme="minorHAnsi" w:hAnsiTheme="minorHAnsi"/>
          <w:b/>
          <w:i/>
          <w:color w:val="C00000"/>
        </w:rPr>
      </w:pPr>
      <w:r w:rsidRPr="00B558D2">
        <w:rPr>
          <w:rFonts w:asciiTheme="minorHAnsi" w:hAnsiTheme="minorHAnsi"/>
          <w:b/>
          <w:i/>
          <w:color w:val="C00000"/>
        </w:rPr>
        <w:t xml:space="preserve">Un accès plus direct aux données de personnel est nécessaire. </w:t>
      </w:r>
    </w:p>
    <w:p w:rsidR="00B558D2" w:rsidRPr="00B558D2" w:rsidRDefault="00B558D2" w:rsidP="00B558D2">
      <w:pPr>
        <w:pStyle w:val="Titre3"/>
        <w:keepNext w:val="0"/>
        <w:keepLines w:val="0"/>
        <w:pageBreakBefore/>
        <w:numPr>
          <w:ilvl w:val="2"/>
          <w:numId w:val="1"/>
        </w:numPr>
        <w:suppressAutoHyphens/>
        <w:spacing w:before="0"/>
        <w:rPr>
          <w:rFonts w:asciiTheme="minorHAnsi" w:hAnsiTheme="minorHAnsi"/>
        </w:rPr>
      </w:pPr>
      <w:bookmarkStart w:id="22" w:name="__RefHeading__33_648499181"/>
      <w:bookmarkStart w:id="23" w:name="_Toc298344831"/>
      <w:bookmarkEnd w:id="22"/>
      <w:r w:rsidRPr="00B558D2">
        <w:rPr>
          <w:rFonts w:asciiTheme="minorHAnsi" w:hAnsiTheme="minorHAnsi"/>
        </w:rPr>
        <w:lastRenderedPageBreak/>
        <w:t>Responsabilités</w:t>
      </w:r>
      <w:bookmarkEnd w:id="23"/>
    </w:p>
    <w:p w:rsidR="00B558D2" w:rsidRPr="00B558D2" w:rsidRDefault="00B558D2" w:rsidP="00B558D2">
      <w:pPr>
        <w:jc w:val="both"/>
        <w:rPr>
          <w:rFonts w:asciiTheme="minorHAnsi" w:hAnsiTheme="minorHAnsi"/>
        </w:rPr>
      </w:pPr>
      <w:r w:rsidRPr="00B558D2">
        <w:rPr>
          <w:rFonts w:asciiTheme="minorHAnsi" w:hAnsiTheme="minorHAnsi"/>
        </w:rPr>
        <w:t xml:space="preserve">Les </w:t>
      </w:r>
      <w:r w:rsidRPr="00B558D2">
        <w:rPr>
          <w:rFonts w:asciiTheme="minorHAnsi" w:hAnsiTheme="minorHAnsi"/>
          <w:b/>
        </w:rPr>
        <w:t>équipes du service développement</w:t>
      </w:r>
      <w:r w:rsidRPr="00B558D2">
        <w:rPr>
          <w:rFonts w:asciiTheme="minorHAnsi" w:hAnsiTheme="minorHAnsi"/>
        </w:rPr>
        <w:t xml:space="preserve"> auront notamment à produire puis à fournir les éléments applicatifs permettant :</w:t>
      </w:r>
    </w:p>
    <w:p w:rsidR="00B558D2" w:rsidRPr="00B558D2" w:rsidRDefault="00B558D2" w:rsidP="00B558D2">
      <w:pPr>
        <w:numPr>
          <w:ilvl w:val="0"/>
          <w:numId w:val="2"/>
        </w:numPr>
        <w:suppressAutoHyphens/>
        <w:jc w:val="both"/>
        <w:rPr>
          <w:rFonts w:asciiTheme="minorHAnsi" w:hAnsiTheme="minorHAnsi"/>
        </w:rPr>
      </w:pPr>
      <w:r w:rsidRPr="00B558D2">
        <w:rPr>
          <w:rFonts w:asciiTheme="minorHAnsi" w:hAnsiTheme="minorHAnsi"/>
        </w:rPr>
        <w:t xml:space="preserve">l'enregistrement d'informations en provenance des visiteurs </w:t>
      </w:r>
    </w:p>
    <w:p w:rsidR="00B558D2" w:rsidRPr="00B558D2" w:rsidRDefault="00B558D2" w:rsidP="00B558D2">
      <w:pPr>
        <w:numPr>
          <w:ilvl w:val="0"/>
          <w:numId w:val="2"/>
        </w:numPr>
        <w:suppressAutoHyphens/>
        <w:jc w:val="both"/>
        <w:rPr>
          <w:rFonts w:asciiTheme="minorHAnsi" w:hAnsiTheme="minorHAnsi"/>
        </w:rPr>
      </w:pPr>
      <w:r w:rsidRPr="00B558D2">
        <w:rPr>
          <w:rFonts w:asciiTheme="minorHAnsi" w:hAnsiTheme="minorHAnsi"/>
        </w:rPr>
        <w:t>la gestion des frais de déplacement</w:t>
      </w:r>
    </w:p>
    <w:p w:rsidR="00B558D2" w:rsidRPr="00B558D2" w:rsidRDefault="00B558D2" w:rsidP="00B558D2">
      <w:pPr>
        <w:jc w:val="both"/>
        <w:rPr>
          <w:rFonts w:asciiTheme="minorHAnsi" w:hAnsiTheme="minorHAnsi"/>
        </w:rPr>
      </w:pPr>
    </w:p>
    <w:p w:rsidR="00B558D2" w:rsidRPr="00B558D2" w:rsidRDefault="00B558D2" w:rsidP="00B558D2">
      <w:pPr>
        <w:jc w:val="both"/>
        <w:rPr>
          <w:rFonts w:asciiTheme="minorHAnsi" w:hAnsiTheme="minorHAnsi"/>
        </w:rPr>
      </w:pPr>
      <w:r w:rsidRPr="00B558D2">
        <w:rPr>
          <w:rFonts w:asciiTheme="minorHAnsi" w:hAnsiTheme="minorHAnsi"/>
        </w:rPr>
        <w:t xml:space="preserve">Les </w:t>
      </w:r>
      <w:r w:rsidRPr="00B558D2">
        <w:rPr>
          <w:rFonts w:asciiTheme="minorHAnsi" w:hAnsiTheme="minorHAnsi"/>
          <w:b/>
        </w:rPr>
        <w:t>équipes du service Réseau et système</w:t>
      </w:r>
      <w:r w:rsidRPr="00B558D2">
        <w:rPr>
          <w:rFonts w:asciiTheme="minorHAnsi" w:hAnsiTheme="minorHAnsi"/>
        </w:rPr>
        <w:t xml:space="preserve"> fourniront les équipements et configuration réseau, ainsi que les ressources serveur nécessaires à héberger les applications mises à disposition de la flotte visite.</w:t>
      </w:r>
    </w:p>
    <w:p w:rsidR="003845CB" w:rsidRPr="00B558D2" w:rsidRDefault="003845CB">
      <w:pPr>
        <w:rPr>
          <w:rFonts w:asciiTheme="minorHAnsi" w:hAnsiTheme="minorHAnsi"/>
        </w:rPr>
      </w:pPr>
    </w:p>
    <w:sectPr w:rsidR="003845CB" w:rsidRPr="00B558D2" w:rsidSect="003845CB">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B8A" w:rsidRDefault="00095B8A" w:rsidP="00B558D2">
      <w:r>
        <w:separator/>
      </w:r>
    </w:p>
  </w:endnote>
  <w:endnote w:type="continuationSeparator" w:id="0">
    <w:p w:rsidR="00095B8A" w:rsidRDefault="00095B8A" w:rsidP="00B558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D2" w:rsidRDefault="00B558D2" w:rsidP="00B558D2">
    <w:pPr>
      <w:pStyle w:val="Pieddepage"/>
      <w:pBdr>
        <w:top w:val="single" w:sz="4" w:space="1" w:color="000000"/>
      </w:pBdr>
    </w:pPr>
    <w:r>
      <w:t>© CERTA</w:t>
    </w:r>
    <w:r>
      <w:tab/>
    </w:r>
    <w:r>
      <w:tab/>
      <w:t xml:space="preserve">Page </w:t>
    </w:r>
    <w:r>
      <w:rPr>
        <w:rStyle w:val="Numrodepage"/>
      </w:rPr>
      <w:fldChar w:fldCharType="begin"/>
    </w:r>
    <w:r>
      <w:rPr>
        <w:rStyle w:val="Numrodepage"/>
      </w:rPr>
      <w:instrText xml:space="preserve"> PAGE </w:instrText>
    </w:r>
    <w:r>
      <w:rPr>
        <w:rStyle w:val="Numrodepage"/>
      </w:rPr>
      <w:fldChar w:fldCharType="separate"/>
    </w:r>
    <w:r w:rsidR="00B72032">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\*Arabic </w:instrText>
    </w:r>
    <w:r>
      <w:rPr>
        <w:rStyle w:val="Numrodepage"/>
      </w:rPr>
      <w:fldChar w:fldCharType="separate"/>
    </w:r>
    <w:r w:rsidR="00B72032">
      <w:rPr>
        <w:rStyle w:val="Numrodepage"/>
        <w:noProof/>
      </w:rPr>
      <w:t>6</w:t>
    </w:r>
    <w:r>
      <w:rPr>
        <w:rStyle w:val="Numrodepage"/>
      </w:rPr>
      <w:fldChar w:fldCharType="end"/>
    </w:r>
  </w:p>
  <w:p w:rsidR="00B558D2" w:rsidRDefault="00B558D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B8A" w:rsidRDefault="00095B8A" w:rsidP="00B558D2">
      <w:r>
        <w:separator/>
      </w:r>
    </w:p>
  </w:footnote>
  <w:footnote w:type="continuationSeparator" w:id="0">
    <w:p w:rsidR="00095B8A" w:rsidRDefault="00095B8A" w:rsidP="00B558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58D2"/>
    <w:rsid w:val="00095B8A"/>
    <w:rsid w:val="003845CB"/>
    <w:rsid w:val="007E4A2C"/>
    <w:rsid w:val="00896BAD"/>
    <w:rsid w:val="00B558D2"/>
    <w:rsid w:val="00B72032"/>
    <w:rsid w:val="00D8033A"/>
    <w:rsid w:val="00F91FB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8D2"/>
    <w:pPr>
      <w:spacing w:after="0" w:line="240" w:lineRule="auto"/>
    </w:pPr>
    <w:rPr>
      <w:rFonts w:ascii="Arial" w:eastAsia="Times New Roman" w:hAnsi="Arial" w:cs="Arial"/>
      <w:color w:val="000080"/>
      <w:sz w:val="20"/>
      <w:szCs w:val="20"/>
      <w:lang w:eastAsia="fr-FR"/>
    </w:rPr>
  </w:style>
  <w:style w:type="paragraph" w:styleId="Titre1">
    <w:name w:val="heading 1"/>
    <w:basedOn w:val="Normal"/>
    <w:next w:val="Normal"/>
    <w:link w:val="Titre1Car"/>
    <w:uiPriority w:val="9"/>
    <w:qFormat/>
    <w:rsid w:val="00896B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nhideWhenUsed/>
    <w:qFormat/>
    <w:rsid w:val="00896B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nhideWhenUsed/>
    <w:qFormat/>
    <w:rsid w:val="00896BA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semiHidden/>
    <w:unhideWhenUsed/>
    <w:qFormat/>
    <w:rsid w:val="00896B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6BA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896B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96BAD"/>
    <w:rPr>
      <w:rFonts w:asciiTheme="majorHAnsi" w:eastAsiaTheme="majorEastAsia" w:hAnsiTheme="majorHAnsi" w:cstheme="majorBidi"/>
      <w:b/>
      <w:bCs/>
      <w:color w:val="4F81BD" w:themeColor="accent1"/>
      <w:sz w:val="20"/>
    </w:rPr>
  </w:style>
  <w:style w:type="character" w:customStyle="1" w:styleId="Titre4Car">
    <w:name w:val="Titre 4 Car"/>
    <w:basedOn w:val="Policepardfaut"/>
    <w:link w:val="Titre4"/>
    <w:uiPriority w:val="9"/>
    <w:semiHidden/>
    <w:rsid w:val="00896BAD"/>
    <w:rPr>
      <w:rFonts w:asciiTheme="majorHAnsi" w:eastAsiaTheme="majorEastAsia" w:hAnsiTheme="majorHAnsi" w:cstheme="majorBidi"/>
      <w:b/>
      <w:bCs/>
      <w:i/>
      <w:iCs/>
      <w:color w:val="4F81BD" w:themeColor="accent1"/>
      <w:sz w:val="20"/>
    </w:rPr>
  </w:style>
  <w:style w:type="character" w:styleId="lev">
    <w:name w:val="Strong"/>
    <w:basedOn w:val="Policepardfaut"/>
    <w:uiPriority w:val="22"/>
    <w:qFormat/>
    <w:rsid w:val="00896BAD"/>
    <w:rPr>
      <w:b/>
      <w:bCs/>
    </w:rPr>
  </w:style>
  <w:style w:type="character" w:styleId="Accentuation">
    <w:name w:val="Emphasis"/>
    <w:basedOn w:val="Policepardfaut"/>
    <w:uiPriority w:val="20"/>
    <w:qFormat/>
    <w:rsid w:val="00896BAD"/>
    <w:rPr>
      <w:i/>
      <w:iCs/>
    </w:rPr>
  </w:style>
  <w:style w:type="paragraph" w:styleId="Paragraphedeliste">
    <w:name w:val="List Paragraph"/>
    <w:basedOn w:val="Normal"/>
    <w:uiPriority w:val="34"/>
    <w:qFormat/>
    <w:rsid w:val="00D8033A"/>
    <w:pPr>
      <w:ind w:left="720"/>
      <w:contextualSpacing/>
    </w:pPr>
  </w:style>
  <w:style w:type="paragraph" w:styleId="Textedebulles">
    <w:name w:val="Balloon Text"/>
    <w:basedOn w:val="Normal"/>
    <w:link w:val="TextedebullesCar"/>
    <w:uiPriority w:val="99"/>
    <w:semiHidden/>
    <w:unhideWhenUsed/>
    <w:rsid w:val="00B558D2"/>
    <w:rPr>
      <w:rFonts w:ascii="Tahoma" w:hAnsi="Tahoma" w:cs="Tahoma"/>
      <w:sz w:val="16"/>
      <w:szCs w:val="16"/>
    </w:rPr>
  </w:style>
  <w:style w:type="character" w:customStyle="1" w:styleId="TextedebullesCar">
    <w:name w:val="Texte de bulles Car"/>
    <w:basedOn w:val="Policepardfaut"/>
    <w:link w:val="Textedebulles"/>
    <w:uiPriority w:val="99"/>
    <w:semiHidden/>
    <w:rsid w:val="00B558D2"/>
    <w:rPr>
      <w:rFonts w:ascii="Tahoma" w:eastAsia="Times New Roman" w:hAnsi="Tahoma" w:cs="Tahoma"/>
      <w:color w:val="000080"/>
      <w:sz w:val="16"/>
      <w:szCs w:val="16"/>
      <w:lang w:eastAsia="fr-FR"/>
    </w:rPr>
  </w:style>
  <w:style w:type="paragraph" w:styleId="En-tte">
    <w:name w:val="header"/>
    <w:basedOn w:val="Normal"/>
    <w:link w:val="En-tteCar"/>
    <w:uiPriority w:val="99"/>
    <w:semiHidden/>
    <w:unhideWhenUsed/>
    <w:rsid w:val="00B558D2"/>
    <w:pPr>
      <w:tabs>
        <w:tab w:val="center" w:pos="4536"/>
        <w:tab w:val="right" w:pos="9072"/>
      </w:tabs>
    </w:pPr>
  </w:style>
  <w:style w:type="character" w:customStyle="1" w:styleId="En-tteCar">
    <w:name w:val="En-tête Car"/>
    <w:basedOn w:val="Policepardfaut"/>
    <w:link w:val="En-tte"/>
    <w:uiPriority w:val="99"/>
    <w:semiHidden/>
    <w:rsid w:val="00B558D2"/>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B558D2"/>
    <w:pPr>
      <w:tabs>
        <w:tab w:val="center" w:pos="4536"/>
        <w:tab w:val="right" w:pos="9072"/>
      </w:tabs>
    </w:pPr>
  </w:style>
  <w:style w:type="character" w:customStyle="1" w:styleId="PieddepageCar">
    <w:name w:val="Pied de page Car"/>
    <w:basedOn w:val="Policepardfaut"/>
    <w:link w:val="Pieddepage"/>
    <w:uiPriority w:val="99"/>
    <w:rsid w:val="00B558D2"/>
    <w:rPr>
      <w:rFonts w:ascii="Arial" w:eastAsia="Times New Roman" w:hAnsi="Arial" w:cs="Arial"/>
      <w:color w:val="000080"/>
      <w:sz w:val="20"/>
      <w:szCs w:val="20"/>
      <w:lang w:eastAsia="fr-FR"/>
    </w:rPr>
  </w:style>
  <w:style w:type="character" w:styleId="Numrodepage">
    <w:name w:val="page number"/>
    <w:rsid w:val="00B558D2"/>
    <w:rPr>
      <w:rFonts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1897</Words>
  <Characters>10434</Characters>
  <Application>Microsoft Office Word</Application>
  <DocSecurity>0</DocSecurity>
  <Lines>86</Lines>
  <Paragraphs>24</Paragraphs>
  <ScaleCrop>false</ScaleCrop>
  <Company/>
  <LinksUpToDate>false</LinksUpToDate>
  <CharactersWithSpaces>12307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crif</dc:creator>
  <cp:keywords/>
  <dc:description/>
  <cp:lastModifiedBy>crif</cp:lastModifiedBy>
  <cp:revision>3</cp:revision>
  <cp:lastPrinted>2012-09-20T13:57:00Z</cp:lastPrinted>
  <dcterms:created xsi:type="dcterms:W3CDTF">2012-09-20T13:52:00Z</dcterms:created>
  <dcterms:modified xsi:type="dcterms:W3CDTF">2012-09-20T13:57:00Z</dcterms:modified>
</cp:coreProperties>
</file>