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pPr>
      <w:r>
        <w:rPr>
          <w:rFonts w:ascii="Arial" w:cs="Arial" w:eastAsia="Arial" w:hAnsi="Arial"/>
          <w:color w:val="555555"/>
          <w:sz w:val="20"/>
          <w:szCs w:val="20"/>
        </w:rPr>
        <w:t xml:space="preserve">Techfest IIT Bombay 2026-27  ·  EV Infra &amp; Green Mobility AI Challenge (MHI × ICAT)</w:t>
      </w:r>
    </w:p>
    <w:p>
      <w:pPr>
        <w:spacing w:after="60"/>
      </w:pPr>
      <w:r>
        <w:rPr>
          <w:rFonts w:ascii="Arial" w:cs="Arial" w:eastAsia="Arial" w:hAnsi="Arial"/>
          <w:b/>
          <w:bCs/>
          <w:color w:val="1F4E79"/>
          <w:sz w:val="56"/>
          <w:szCs w:val="56"/>
        </w:rPr>
        <w:t xml:space="preserve">EV Infra Map India</w:t>
      </w:r>
    </w:p>
    <w:p>
      <w:pPr>
        <w:spacing w:after="120"/>
      </w:pPr>
      <w:r>
        <w:rPr>
          <w:rFonts w:ascii="Arial" w:cs="Arial" w:eastAsia="Arial" w:hAnsi="Arial"/>
          <w:color w:val="222222"/>
          <w:sz w:val="30"/>
          <w:szCs w:val="30"/>
        </w:rPr>
        <w:t xml:space="preserve">A VAHAN-linked, norm-aware planning engine for public EV charging</w:t>
      </w:r>
    </w:p>
    <w:p>
      <w:pPr>
        <w:pBdr>
          <w:bottom w:val="single" w:color="1F4E79" w:sz="12" w:space="4"/>
        </w:pBdr>
        <w:spacing w:after="240"/>
      </w:pPr>
      <w:r>
        <w:rPr>
          <w:rFonts w:ascii="Arial" w:cs="Arial" w:eastAsia="Arial" w:hAnsi="Arial"/>
          <w:sz w:val="20"/>
          <w:szCs w:val="20"/>
        </w:rPr>
        <w:t xml:space="preserve">Challenge 1: EV Infra Map India  ·  Round 1: Concept, Methodology and Implementation Roadmap</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926"/>
        <w:gridCol w:w="6826"/>
      </w:tblGrid>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Team name</w:t>
            </w:r>
          </w:p>
        </w:tc>
        <w:tc>
          <w:tcPr>
            <w:tcW w:type="dxa" w:w="6826"/>
            <w:tcMar>
              <w:top w:type="dxa" w:w="50"/>
              <w:left w:type="dxa" w:w="80"/>
              <w:bottom w:type="dxa" w:w="50"/>
              <w:right w:type="dxa" w:w="80"/>
            </w:tcMar>
            <w:vAlign w:val="center"/>
          </w:tcPr>
          <w:p>
            <w:pPr>
              <w:spacing w:after="0" w:line="240"/>
            </w:pPr>
            <w:r>
              <w:rPr>
                <w:rFonts w:ascii="Arial" w:cs="Arial" w:eastAsia="Arial" w:hAnsi="Arial"/>
                <w:sz w:val="19"/>
                <w:szCs w:val="19"/>
              </w:rPr>
              <w:t xml:space="preserve">Havoc</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Team ID</w:t>
            </w:r>
          </w:p>
        </w:tc>
        <w:tc>
          <w:tcPr>
            <w:tcW w:type="dxa" w:w="6826"/>
            <w:shd w:fill="F3F6FA" w:color="auto" w:val="clear"/>
            <w:tcMar>
              <w:top w:type="dxa" w:w="50"/>
              <w:left w:type="dxa" w:w="80"/>
              <w:bottom w:type="dxa" w:w="50"/>
              <w:right w:type="dxa" w:w="80"/>
            </w:tcMar>
            <w:vAlign w:val="center"/>
          </w:tcPr>
          <w:p>
            <w:pPr>
              <w:spacing w:after="0" w:line="240"/>
            </w:pPr>
            <w:r>
              <w:rPr>
                <w:rFonts w:ascii="Arial" w:cs="Arial" w:eastAsia="Arial" w:hAnsi="Arial"/>
                <w:sz w:val="19"/>
                <w:szCs w:val="19"/>
              </w:rPr>
              <w:t xml:space="preserve">TM-72BD3802D52</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Institutions</w:t>
            </w:r>
          </w:p>
        </w:tc>
        <w:tc>
          <w:tcPr>
            <w:tcW w:type="dxa" w:w="6826"/>
            <w:tcMar>
              <w:top w:type="dxa" w:w="50"/>
              <w:left w:type="dxa" w:w="80"/>
              <w:bottom w:type="dxa" w:w="50"/>
              <w:right w:type="dxa" w:w="80"/>
            </w:tcMar>
            <w:vAlign w:val="center"/>
          </w:tcPr>
          <w:p>
            <w:pPr>
              <w:spacing w:after="0" w:line="240"/>
            </w:pPr>
            <w:r>
              <w:rPr>
                <w:rFonts w:ascii="Arial" w:cs="Arial" w:eastAsia="Arial" w:hAnsi="Arial"/>
                <w:sz w:val="19"/>
                <w:szCs w:val="19"/>
              </w:rPr>
              <w:t xml:space="preserve">C.V. Raman Global University, Bhubaneswar, Odisha · Indian Institute of Technology (Indian School of Mines), Dhanbad</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Team Leader</w:t>
            </w:r>
          </w:p>
        </w:tc>
        <w:tc>
          <w:tcPr>
            <w:tcW w:type="dxa" w:w="6826"/>
            <w:shd w:fill="F3F6FA" w:color="auto" w:val="clear"/>
            <w:tcMar>
              <w:top w:type="dxa" w:w="50"/>
              <w:left w:type="dxa" w:w="80"/>
              <w:bottom w:type="dxa" w:w="50"/>
              <w:right w:type="dxa" w:w="80"/>
            </w:tcMar>
            <w:vAlign w:val="center"/>
          </w:tcPr>
          <w:p>
            <w:pPr>
              <w:spacing w:after="0" w:line="240"/>
            </w:pPr>
            <w:r>
              <w:rPr>
                <w:rFonts w:ascii="Arial" w:cs="Arial" w:eastAsia="Arial" w:hAnsi="Arial"/>
                <w:sz w:val="19"/>
                <w:szCs w:val="19"/>
              </w:rPr>
              <w:t xml:space="preserve">Shrimon Mishra</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Team members</w:t>
            </w:r>
          </w:p>
        </w:tc>
        <w:tc>
          <w:tcPr>
            <w:tcW w:type="dxa" w:w="6826"/>
            <w:tcMar>
              <w:top w:type="dxa" w:w="50"/>
              <w:left w:type="dxa" w:w="80"/>
              <w:bottom w:type="dxa" w:w="50"/>
              <w:right w:type="dxa" w:w="80"/>
            </w:tcMar>
            <w:vAlign w:val="center"/>
          </w:tcPr>
          <w:p>
            <w:pPr>
              <w:spacing w:after="0" w:line="240"/>
            </w:pPr>
            <w:r>
              <w:rPr>
                <w:rFonts w:ascii="Arial" w:cs="Arial" w:eastAsia="Arial" w:hAnsi="Arial"/>
                <w:sz w:val="19"/>
                <w:szCs w:val="19"/>
              </w:rPr>
              <w:t xml:space="preserve">[MEMBER NAMES]</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Contact</w:t>
            </w:r>
          </w:p>
        </w:tc>
        <w:tc>
          <w:tcPr>
            <w:tcW w:type="dxa" w:w="6826"/>
            <w:shd w:fill="F3F6FA" w:color="auto" w:val="clear"/>
            <w:tcMar>
              <w:top w:type="dxa" w:w="50"/>
              <w:left w:type="dxa" w:w="80"/>
              <w:bottom w:type="dxa" w:w="50"/>
              <w:right w:type="dxa" w:w="80"/>
            </w:tcMar>
            <w:vAlign w:val="center"/>
          </w:tcPr>
          <w:p>
            <w:pPr>
              <w:spacing w:after="0" w:line="240"/>
            </w:pPr>
            <w:r>
              <w:rPr>
                <w:rFonts w:ascii="Arial" w:cs="Arial" w:eastAsia="Arial" w:hAnsi="Arial"/>
                <w:sz w:val="19"/>
                <w:szCs w:val="19"/>
              </w:rPr>
              <w:t xml:space="preserve">shrimonmishralimitless@gmail.com</w:t>
            </w:r>
          </w:p>
        </w:tc>
      </w:tr>
      <w:tr>
        <w:trPr>
          <w:cantSplit/>
        </w:trPr>
        <w:tc>
          <w:tcPr>
            <w:tcW w:type="dxa" w:w="2926"/>
            <w:shd w:fill="DBE9F6" w:color="auto" w:val="clear"/>
            <w:tcMar>
              <w:top w:type="dxa" w:w="50"/>
              <w:left w:type="dxa" w:w="80"/>
              <w:bottom w:type="dxa" w:w="50"/>
              <w:right w:type="dxa" w:w="80"/>
            </w:tcMar>
            <w:vAlign w:val="center"/>
          </w:tcPr>
          <w:p>
            <w:pPr>
              <w:spacing w:after="0" w:line="240"/>
            </w:pPr>
            <w:r>
              <w:rPr>
                <w:rFonts w:ascii="Arial" w:cs="Arial" w:eastAsia="Arial" w:hAnsi="Arial"/>
                <w:b/>
                <w:bCs/>
                <w:sz w:val="19"/>
                <w:szCs w:val="19"/>
              </w:rPr>
              <w:t xml:space="preserve">Date</w:t>
            </w:r>
          </w:p>
        </w:tc>
        <w:tc>
          <w:tcPr>
            <w:tcW w:type="dxa" w:w="6826"/>
            <w:tcMar>
              <w:top w:type="dxa" w:w="50"/>
              <w:left w:type="dxa" w:w="80"/>
              <w:bottom w:type="dxa" w:w="50"/>
              <w:right w:type="dxa" w:w="80"/>
            </w:tcMar>
            <w:vAlign w:val="center"/>
          </w:tcPr>
          <w:p>
            <w:pPr>
              <w:spacing w:after="0" w:line="240"/>
            </w:pPr>
            <w:r>
              <w:rPr>
                <w:rFonts w:ascii="Arial" w:cs="Arial" w:eastAsia="Arial" w:hAnsi="Arial"/>
                <w:sz w:val="19"/>
                <w:szCs w:val="19"/>
              </w:rPr>
              <w:t xml:space="preserve">October 2026</w:t>
            </w:r>
          </w:p>
        </w:tc>
      </w:tr>
    </w:tbl>
    <w:p>
      <w:pPr>
        <w:spacing w:after="80"/>
      </w:pPr>
    </w:p>
    <w:p>
      <w:pPr>
        <w:spacing w:after="200"/>
      </w:pPr>
    </w:p>
    <w:p>
      <w:pPr>
        <w:spacing w:after="80"/>
      </w:pPr>
      <w:r>
        <w:rPr>
          <w:rFonts w:ascii="Arial" w:cs="Arial" w:eastAsia="Arial" w:hAnsi="Arial"/>
          <w:b/>
          <w:bCs/>
          <w:color w:val="1F4E79"/>
          <w:sz w:val="24"/>
          <w:szCs w:val="24"/>
        </w:rPr>
        <w:t xml:space="preserve">Contents</w:t>
      </w:r>
    </w:p>
    <w:p>
      <w:pPr>
        <w:tabs>
          <w:tab w:val="right" w:pos="9752" w:leader="dot"/>
        </w:tabs>
        <w:spacing w:after="30"/>
      </w:pPr>
      <w:r>
        <w:rPr>
          <w:rFonts w:ascii="Arial" w:cs="Arial" w:eastAsia="Arial" w:hAnsi="Arial"/>
          <w:sz w:val="18"/>
          <w:szCs w:val="18"/>
        </w:rPr>
        <w:t xml:space="preserve">1  Executive summary</w:t>
      </w:r>
      <w:r>
        <w:rPr>
          <w:rFonts w:ascii="Arial" w:cs="Arial" w:eastAsia="Arial" w:hAnsi="Arial"/>
          <w:sz w:val="18"/>
          <w:szCs w:val="18"/>
        </w:rPr>
        <w:tab/>
        <w:t xml:space="preserve">2</w:t>
      </w:r>
    </w:p>
    <w:p>
      <w:pPr>
        <w:tabs>
          <w:tab w:val="right" w:pos="9752" w:leader="dot"/>
        </w:tabs>
        <w:spacing w:after="30"/>
      </w:pPr>
      <w:r>
        <w:rPr>
          <w:rFonts w:ascii="Arial" w:cs="Arial" w:eastAsia="Arial" w:hAnsi="Arial"/>
          <w:sz w:val="18"/>
          <w:szCs w:val="18"/>
        </w:rPr>
        <w:t xml:space="preserve">2  Problem and relevance</w:t>
      </w:r>
      <w:r>
        <w:rPr>
          <w:rFonts w:ascii="Arial" w:cs="Arial" w:eastAsia="Arial" w:hAnsi="Arial"/>
          <w:sz w:val="18"/>
          <w:szCs w:val="18"/>
        </w:rPr>
        <w:tab/>
        <w:t xml:space="preserve">2</w:t>
      </w:r>
    </w:p>
    <w:p>
      <w:pPr>
        <w:tabs>
          <w:tab w:val="right" w:pos="9752" w:leader="dot"/>
        </w:tabs>
        <w:spacing w:after="30"/>
      </w:pPr>
      <w:r>
        <w:rPr>
          <w:rFonts w:ascii="Arial" w:cs="Arial" w:eastAsia="Arial" w:hAnsi="Arial"/>
          <w:sz w:val="18"/>
          <w:szCs w:val="18"/>
        </w:rPr>
        <w:t xml:space="preserve">3  Users and scope</w:t>
      </w:r>
      <w:r>
        <w:rPr>
          <w:rFonts w:ascii="Arial" w:cs="Arial" w:eastAsia="Arial" w:hAnsi="Arial"/>
          <w:sz w:val="18"/>
          <w:szCs w:val="18"/>
        </w:rPr>
        <w:tab/>
        <w:t xml:space="preserve">3</w:t>
      </w:r>
    </w:p>
    <w:p>
      <w:pPr>
        <w:tabs>
          <w:tab w:val="right" w:pos="9752" w:leader="dot"/>
        </w:tabs>
        <w:spacing w:after="30"/>
      </w:pPr>
      <w:r>
        <w:rPr>
          <w:rFonts w:ascii="Arial" w:cs="Arial" w:eastAsia="Arial" w:hAnsi="Arial"/>
          <w:sz w:val="18"/>
          <w:szCs w:val="18"/>
        </w:rPr>
        <w:t xml:space="preserve">4  Data strategy</w:t>
      </w:r>
      <w:r>
        <w:rPr>
          <w:rFonts w:ascii="Arial" w:cs="Arial" w:eastAsia="Arial" w:hAnsi="Arial"/>
          <w:sz w:val="18"/>
          <w:szCs w:val="18"/>
        </w:rPr>
        <w:tab/>
        <w:t xml:space="preserve">4</w:t>
      </w:r>
    </w:p>
    <w:p>
      <w:pPr>
        <w:tabs>
          <w:tab w:val="right" w:pos="9752" w:leader="dot"/>
        </w:tabs>
        <w:spacing w:after="30"/>
      </w:pPr>
      <w:r>
        <w:rPr>
          <w:rFonts w:ascii="Arial" w:cs="Arial" w:eastAsia="Arial" w:hAnsi="Arial"/>
          <w:sz w:val="18"/>
          <w:szCs w:val="18"/>
        </w:rPr>
        <w:t xml:space="preserve">5  Approach overview</w:t>
      </w:r>
      <w:r>
        <w:rPr>
          <w:rFonts w:ascii="Arial" w:cs="Arial" w:eastAsia="Arial" w:hAnsi="Arial"/>
          <w:sz w:val="18"/>
          <w:szCs w:val="18"/>
        </w:rPr>
        <w:tab/>
        <w:t xml:space="preserve">4</w:t>
      </w:r>
    </w:p>
    <w:p>
      <w:pPr>
        <w:tabs>
          <w:tab w:val="right" w:pos="9752" w:leader="dot"/>
        </w:tabs>
        <w:spacing w:after="30"/>
      </w:pPr>
      <w:r>
        <w:rPr>
          <w:rFonts w:ascii="Arial" w:cs="Arial" w:eastAsia="Arial" w:hAnsi="Arial"/>
          <w:sz w:val="18"/>
          <w:szCs w:val="18"/>
        </w:rPr>
        <w:t xml:space="preserve">6  Data integration</w:t>
      </w:r>
      <w:r>
        <w:rPr>
          <w:rFonts w:ascii="Arial" w:cs="Arial" w:eastAsia="Arial" w:hAnsi="Arial"/>
          <w:sz w:val="18"/>
          <w:szCs w:val="18"/>
        </w:rPr>
        <w:tab/>
        <w:t xml:space="preserve">5</w:t>
      </w:r>
    </w:p>
    <w:p>
      <w:pPr>
        <w:tabs>
          <w:tab w:val="right" w:pos="9752" w:leader="dot"/>
        </w:tabs>
        <w:spacing w:after="30"/>
      </w:pPr>
      <w:r>
        <w:rPr>
          <w:rFonts w:ascii="Arial" w:cs="Arial" w:eastAsia="Arial" w:hAnsi="Arial"/>
          <w:sz w:val="18"/>
          <w:szCs w:val="18"/>
        </w:rPr>
        <w:t xml:space="preserve">7  Gap assessment: Charging Gap Index</w:t>
      </w:r>
      <w:r>
        <w:rPr>
          <w:rFonts w:ascii="Arial" w:cs="Arial" w:eastAsia="Arial" w:hAnsi="Arial"/>
          <w:sz w:val="18"/>
          <w:szCs w:val="18"/>
        </w:rPr>
        <w:tab/>
        <w:t xml:space="preserve">5</w:t>
      </w:r>
    </w:p>
    <w:p>
      <w:pPr>
        <w:tabs>
          <w:tab w:val="right" w:pos="9752" w:leader="dot"/>
        </w:tabs>
        <w:spacing w:after="30"/>
      </w:pPr>
      <w:r>
        <w:rPr>
          <w:rFonts w:ascii="Arial" w:cs="Arial" w:eastAsia="Arial" w:hAnsi="Arial"/>
          <w:sz w:val="18"/>
          <w:szCs w:val="18"/>
        </w:rPr>
        <w:t xml:space="preserve">8  Norm compliance</w:t>
      </w:r>
      <w:r>
        <w:rPr>
          <w:rFonts w:ascii="Arial" w:cs="Arial" w:eastAsia="Arial" w:hAnsi="Arial"/>
          <w:sz w:val="18"/>
          <w:szCs w:val="18"/>
        </w:rPr>
        <w:tab/>
        <w:t xml:space="preserve">6</w:t>
      </w:r>
    </w:p>
    <w:p>
      <w:pPr>
        <w:tabs>
          <w:tab w:val="right" w:pos="9752" w:leader="dot"/>
        </w:tabs>
        <w:spacing w:after="30"/>
      </w:pPr>
      <w:r>
        <w:rPr>
          <w:rFonts w:ascii="Arial" w:cs="Arial" w:eastAsia="Arial" w:hAnsi="Arial"/>
          <w:sz w:val="18"/>
          <w:szCs w:val="18"/>
        </w:rPr>
        <w:t xml:space="preserve">9  Demand forecast</w:t>
      </w:r>
      <w:r>
        <w:rPr>
          <w:rFonts w:ascii="Arial" w:cs="Arial" w:eastAsia="Arial" w:hAnsi="Arial"/>
          <w:sz w:val="18"/>
          <w:szCs w:val="18"/>
        </w:rPr>
        <w:tab/>
        <w:t xml:space="preserve">6</w:t>
      </w:r>
    </w:p>
    <w:p>
      <w:pPr>
        <w:tabs>
          <w:tab w:val="right" w:pos="9752" w:leader="dot"/>
        </w:tabs>
        <w:spacing w:after="30"/>
      </w:pPr>
      <w:r>
        <w:rPr>
          <w:rFonts w:ascii="Arial" w:cs="Arial" w:eastAsia="Arial" w:hAnsi="Arial"/>
          <w:sz w:val="18"/>
          <w:szCs w:val="18"/>
        </w:rPr>
        <w:t xml:space="preserve">10  Charger requirement</w:t>
      </w:r>
      <w:r>
        <w:rPr>
          <w:rFonts w:ascii="Arial" w:cs="Arial" w:eastAsia="Arial" w:hAnsi="Arial"/>
          <w:sz w:val="18"/>
          <w:szCs w:val="18"/>
        </w:rPr>
        <w:tab/>
        <w:t xml:space="preserve">7</w:t>
      </w:r>
    </w:p>
    <w:p>
      <w:pPr>
        <w:tabs>
          <w:tab w:val="right" w:pos="9752" w:leader="dot"/>
        </w:tabs>
        <w:spacing w:after="30"/>
      </w:pPr>
      <w:r>
        <w:rPr>
          <w:rFonts w:ascii="Arial" w:cs="Arial" w:eastAsia="Arial" w:hAnsi="Arial"/>
          <w:sz w:val="18"/>
          <w:szCs w:val="18"/>
        </w:rPr>
        <w:t xml:space="preserve">11  Siting (Round 2)</w:t>
      </w:r>
      <w:r>
        <w:rPr>
          <w:rFonts w:ascii="Arial" w:cs="Arial" w:eastAsia="Arial" w:hAnsi="Arial"/>
          <w:sz w:val="18"/>
          <w:szCs w:val="18"/>
        </w:rPr>
        <w:tab/>
        <w:t xml:space="preserve">8</w:t>
      </w:r>
    </w:p>
    <w:p>
      <w:pPr>
        <w:tabs>
          <w:tab w:val="right" w:pos="9752" w:leader="dot"/>
        </w:tabs>
        <w:spacing w:after="30"/>
      </w:pPr>
      <w:r>
        <w:rPr>
          <w:rFonts w:ascii="Arial" w:cs="Arial" w:eastAsia="Arial" w:hAnsi="Arial"/>
          <w:sz w:val="18"/>
          <w:szCs w:val="18"/>
        </w:rPr>
        <w:t xml:space="preserve">12  Validation</w:t>
      </w:r>
      <w:r>
        <w:rPr>
          <w:rFonts w:ascii="Arial" w:cs="Arial" w:eastAsia="Arial" w:hAnsi="Arial"/>
          <w:sz w:val="18"/>
          <w:szCs w:val="18"/>
        </w:rPr>
        <w:tab/>
        <w:t xml:space="preserve">8</w:t>
      </w:r>
    </w:p>
    <w:p>
      <w:pPr>
        <w:tabs>
          <w:tab w:val="right" w:pos="9752" w:leader="dot"/>
        </w:tabs>
        <w:spacing w:after="30"/>
      </w:pPr>
      <w:r>
        <w:rPr>
          <w:rFonts w:ascii="Arial" w:cs="Arial" w:eastAsia="Arial" w:hAnsi="Arial"/>
          <w:sz w:val="18"/>
          <w:szCs w:val="18"/>
        </w:rPr>
        <w:t xml:space="preserve">13  Architecture and tech stack</w:t>
      </w:r>
      <w:r>
        <w:rPr>
          <w:rFonts w:ascii="Arial" w:cs="Arial" w:eastAsia="Arial" w:hAnsi="Arial"/>
          <w:sz w:val="18"/>
          <w:szCs w:val="18"/>
        </w:rPr>
        <w:tab/>
        <w:t xml:space="preserve">9</w:t>
      </w:r>
    </w:p>
    <w:p>
      <w:pPr>
        <w:tabs>
          <w:tab w:val="right" w:pos="9752" w:leader="dot"/>
        </w:tabs>
        <w:spacing w:after="30"/>
      </w:pPr>
      <w:r>
        <w:rPr>
          <w:rFonts w:ascii="Arial" w:cs="Arial" w:eastAsia="Arial" w:hAnsi="Arial"/>
          <w:sz w:val="18"/>
          <w:szCs w:val="18"/>
        </w:rPr>
        <w:t xml:space="preserve">14  Implementation roadmap (7 Nov to 16 Dec 2026)</w:t>
      </w:r>
      <w:r>
        <w:rPr>
          <w:rFonts w:ascii="Arial" w:cs="Arial" w:eastAsia="Arial" w:hAnsi="Arial"/>
          <w:sz w:val="18"/>
          <w:szCs w:val="18"/>
        </w:rPr>
        <w:tab/>
        <w:t xml:space="preserve">9</w:t>
      </w:r>
    </w:p>
    <w:p>
      <w:pPr>
        <w:tabs>
          <w:tab w:val="right" w:pos="9752" w:leader="dot"/>
        </w:tabs>
        <w:spacing w:after="30"/>
      </w:pPr>
      <w:r>
        <w:rPr>
          <w:rFonts w:ascii="Arial" w:cs="Arial" w:eastAsia="Arial" w:hAnsi="Arial"/>
          <w:sz w:val="18"/>
          <w:szCs w:val="18"/>
        </w:rPr>
        <w:t xml:space="preserve">15  Assumptions, risks and mitigations</w:t>
      </w:r>
      <w:r>
        <w:rPr>
          <w:rFonts w:ascii="Arial" w:cs="Arial" w:eastAsia="Arial" w:hAnsi="Arial"/>
          <w:sz w:val="18"/>
          <w:szCs w:val="18"/>
        </w:rPr>
        <w:tab/>
        <w:t xml:space="preserve">10</w:t>
      </w:r>
    </w:p>
    <w:p>
      <w:pPr>
        <w:tabs>
          <w:tab w:val="right" w:pos="9752" w:leader="dot"/>
        </w:tabs>
        <w:spacing w:after="30"/>
      </w:pPr>
      <w:r>
        <w:rPr>
          <w:rFonts w:ascii="Arial" w:cs="Arial" w:eastAsia="Arial" w:hAnsi="Arial"/>
          <w:sz w:val="18"/>
          <w:szCs w:val="18"/>
        </w:rPr>
        <w:t xml:space="preserve">16  Innovation and scalability</w:t>
      </w:r>
      <w:r>
        <w:rPr>
          <w:rFonts w:ascii="Arial" w:cs="Arial" w:eastAsia="Arial" w:hAnsi="Arial"/>
          <w:sz w:val="18"/>
          <w:szCs w:val="18"/>
        </w:rPr>
        <w:tab/>
        <w:t xml:space="preserve">10</w:t>
      </w:r>
    </w:p>
    <w:p>
      <w:pPr>
        <w:tabs>
          <w:tab w:val="right" w:pos="9752" w:leader="dot"/>
        </w:tabs>
        <w:spacing w:after="30"/>
      </w:pPr>
      <w:r>
        <w:rPr>
          <w:rFonts w:ascii="Arial" w:cs="Arial" w:eastAsia="Arial" w:hAnsi="Arial"/>
          <w:sz w:val="18"/>
          <w:szCs w:val="18"/>
        </w:rPr>
        <w:t xml:space="preserve">Appendix A1  Sources</w:t>
      </w:r>
      <w:r>
        <w:rPr>
          <w:rFonts w:ascii="Arial" w:cs="Arial" w:eastAsia="Arial" w:hAnsi="Arial"/>
          <w:sz w:val="18"/>
          <w:szCs w:val="18"/>
        </w:rPr>
        <w:tab/>
        <w:t xml:space="preserve">11</w:t>
      </w:r>
    </w:p>
    <w:p>
      <w:pPr>
        <w:tabs>
          <w:tab w:val="right" w:pos="9752" w:leader="dot"/>
        </w:tabs>
        <w:spacing w:after="30"/>
      </w:pPr>
      <w:r>
        <w:rPr>
          <w:rFonts w:ascii="Arial" w:cs="Arial" w:eastAsia="Arial" w:hAnsi="Arial"/>
          <w:sz w:val="18"/>
          <w:szCs w:val="18"/>
        </w:rPr>
        <w:t xml:space="preserve">Appendix A2  Synthetic and assumed data register</w:t>
      </w:r>
      <w:r>
        <w:rPr>
          <w:rFonts w:ascii="Arial" w:cs="Arial" w:eastAsia="Arial" w:hAnsi="Arial"/>
          <w:sz w:val="18"/>
          <w:szCs w:val="18"/>
        </w:rPr>
        <w:tab/>
        <w:t xml:space="preserve">11</w:t>
      </w:r>
    </w:p>
    <w:p>
      <w:pPr>
        <w:tabs>
          <w:tab w:val="right" w:pos="9752" w:leader="dot"/>
        </w:tabs>
        <w:spacing w:after="30"/>
      </w:pPr>
      <w:r>
        <w:rPr>
          <w:rFonts w:ascii="Arial" w:cs="Arial" w:eastAsia="Arial" w:hAnsi="Arial"/>
          <w:sz w:val="18"/>
          <w:szCs w:val="18"/>
        </w:rPr>
        <w:t xml:space="preserve">Appendix A3  AI-tool disclosure</w:t>
      </w:r>
      <w:r>
        <w:rPr>
          <w:rFonts w:ascii="Arial" w:cs="Arial" w:eastAsia="Arial" w:hAnsi="Arial"/>
          <w:sz w:val="18"/>
          <w:szCs w:val="18"/>
        </w:rPr>
        <w:tab/>
        <w:t xml:space="preserve">11</w:t>
      </w:r>
    </w:p>
    <w:p>
      <w:r>
        <w:br w:type="page"/>
      </w:r>
    </w:p>
    <w:p>
      <w:pPr>
        <w:pStyle w:val="Heading1"/>
        <w:keepNext/>
        <w:spacing w:after="100" w:before="200"/>
      </w:pPr>
      <w:r>
        <w:t xml:space="preserve">1. Executive summary</w:t>
      </w:r>
    </w:p>
    <w:p>
      <w:pPr>
        <w:spacing w:after="80" w:before="0" w:line="264"/>
      </w:pPr>
      <w:r>
        <w:rPr>
          <w:rFonts w:ascii="Arial" w:cs="Arial" w:eastAsia="Arial" w:hAnsi="Arial"/>
          <w:b/>
          <w:bCs/>
        </w:rPr>
        <w:t xml:space="preserve">Problem.</w:t>
      </w:r>
      <w:r>
        <w:rPr>
          <w:rFonts w:ascii="Arial" w:cs="Arial" w:eastAsia="Arial" w:hAnsi="Arial"/>
        </w:rPr>
        <w:t xml:space="preserve"> India's public charging data is fragmented: official counts for the same state differ by up to 2× depending on who is counted. No tool links charger supply to the registered EV fleet or measures compliance with the Ministry of Power (MoP) 2024 siting norms. Planners cannot see where chargers are missing today, or how many are needed by FY 2029-30.</w:t>
      </w:r>
    </w:p>
    <w:p>
      <w:pPr>
        <w:spacing w:after="30" w:before="0" w:line="264"/>
      </w:pPr>
      <w:r>
        <w:rPr>
          <w:rFonts w:ascii="Arial" w:cs="Arial" w:eastAsia="Arial" w:hAnsi="Arial"/>
          <w:b/>
          <w:bCs/>
        </w:rPr>
        <w:t xml:space="preserve">Approach.</w:t>
      </w:r>
    </w:p>
    <w:p>
      <w:pPr>
        <w:pStyle w:val="ListParagraph"/>
        <w:numPr>
          <w:ilvl w:val="0"/>
          <w:numId w:val="2"/>
        </w:numPr>
        <w:spacing w:after="40" w:line="252"/>
      </w:pPr>
      <w:r>
        <w:rPr>
          <w:rFonts w:ascii="Arial" w:cs="Arial" w:eastAsia="Arial" w:hAnsi="Arial"/>
          <w:b/>
          <w:bCs/>
        </w:rPr>
        <w:t xml:space="preserve">Demand from VAHAN.</w:t>
      </w:r>
      <w:r>
        <w:rPr>
          <w:rFonts w:ascii="Arial" w:cs="Arial" w:eastAsia="Arial" w:hAnsi="Arial"/>
        </w:rPr>
        <w:t xml:space="preserve"> EV registrations (RTO × vehicle class × financial year) are mapped to districts and H3 hexagon cells. Supply is a de-duplicated public charger census built from open data and reconciled with MHI counts.</w:t>
      </w:r>
    </w:p>
    <w:p>
      <w:pPr>
        <w:pStyle w:val="ListParagraph"/>
        <w:numPr>
          <w:ilvl w:val="0"/>
          <w:numId w:val="2"/>
        </w:numPr>
        <w:spacing w:after="40" w:line="252"/>
      </w:pPr>
      <w:r>
        <w:rPr>
          <w:rFonts w:ascii="Arial" w:cs="Arial" w:eastAsia="Arial" w:hAnsi="Arial"/>
          <w:b/>
          <w:bCs/>
        </w:rPr>
        <w:t xml:space="preserve">Gap and norm compliance.</w:t>
      </w:r>
      <w:r>
        <w:rPr>
          <w:rFonts w:ascii="Arial" w:cs="Arial" w:eastAsia="Arial" w:hAnsi="Arial"/>
        </w:rPr>
        <w:t xml:space="preserve"> A transparent </w:t>
      </w:r>
      <w:r>
        <w:rPr>
          <w:rFonts w:ascii="Arial" w:cs="Arial" w:eastAsia="Arial" w:hAnsi="Arial"/>
          <w:b/>
          <w:bCs/>
        </w:rPr>
        <w:t xml:space="preserve">Charging Gap Index</w:t>
      </w:r>
      <w:r>
        <w:rPr>
          <w:rFonts w:ascii="Arial" w:cs="Arial" w:eastAsia="Arial" w:hAnsi="Arial"/>
        </w:rPr>
        <w:t xml:space="preserve"> scores each district on load, access and momentum, and the platform measures compliance with the MoP norms (1×1 km urban grid; 20 km highway spacing).</w:t>
      </w:r>
    </w:p>
    <w:p>
      <w:pPr>
        <w:pStyle w:val="ListParagraph"/>
        <w:numPr>
          <w:ilvl w:val="0"/>
          <w:numId w:val="2"/>
        </w:numPr>
        <w:spacing w:after="40" w:line="252"/>
      </w:pPr>
      <w:r>
        <w:rPr>
          <w:rFonts w:ascii="Arial" w:cs="Arial" w:eastAsia="Arial" w:hAnsi="Arial"/>
          <w:b/>
          <w:bCs/>
        </w:rPr>
        <w:t xml:space="preserve">Need by FY 2029-30.</w:t>
      </w:r>
      <w:r>
        <w:rPr>
          <w:rFonts w:ascii="Arial" w:cs="Arial" w:eastAsia="Arial" w:hAnsi="Arial"/>
        </w:rPr>
        <w:t xml:space="preserve"> A backtested Holt forecast gives Low, Base and High EV stock, converted into light (&lt;30 kW) and DC (≥30 kW) charge points, with </w:t>
      </w:r>
      <w:r>
        <w:rPr>
          <w:rFonts w:ascii="Arial" w:cs="Arial" w:eastAsia="Arial" w:hAnsi="Arial"/>
          <w:b/>
          <w:bCs/>
        </w:rPr>
        <w:t xml:space="preserve">DC need = max(energy-based, corridor-norm)</w:t>
      </w:r>
      <w:r>
        <w:rPr>
          <w:rFonts w:ascii="Arial" w:cs="Arial" w:eastAsia="Arial" w:hAnsi="Arial"/>
        </w:rPr>
        <w:t xml:space="preserve">.</w:t>
      </w:r>
    </w:p>
    <w:p>
      <w:pPr>
        <w:pStyle w:val="ListParagraph"/>
        <w:numPr>
          <w:ilvl w:val="0"/>
          <w:numId w:val="2"/>
        </w:numPr>
        <w:spacing w:after="40" w:line="252"/>
      </w:pPr>
      <w:r>
        <w:rPr>
          <w:rFonts w:ascii="Arial" w:cs="Arial" w:eastAsia="Arial" w:hAnsi="Arial"/>
          <w:b/>
          <w:bCs/>
        </w:rPr>
        <w:t xml:space="preserve">Siting and delivery.</w:t>
      </w:r>
      <w:r>
        <w:rPr>
          <w:rFonts w:ascii="Arial" w:cs="Arial" w:eastAsia="Arial" w:hAnsi="Arial"/>
        </w:rPr>
        <w:t xml:space="preserve"> A grid-aware maximal covering model recommends sites. Results are delivered through an open web map and dashboard. Pilot: </w:t>
      </w:r>
      <w:r>
        <w:rPr>
          <w:rFonts w:ascii="Arial" w:cs="Arial" w:eastAsia="Arial" w:hAnsi="Arial"/>
          <w:b/>
          <w:bCs/>
        </w:rPr>
        <w:t xml:space="preserve">Odisha</w:t>
      </w:r>
      <w:r>
        <w:rPr>
          <w:rFonts w:ascii="Arial" w:cs="Arial" w:eastAsia="Arial" w:hAnsi="Arial"/>
        </w:rPr>
        <w:t xml:space="preserve"> (30 districts); benchmark: </w:t>
      </w:r>
      <w:r>
        <w:rPr>
          <w:rFonts w:ascii="Arial" w:cs="Arial" w:eastAsia="Arial" w:hAnsi="Arial"/>
          <w:b/>
          <w:bCs/>
        </w:rPr>
        <w:t xml:space="preserve">Karnataka</w:t>
      </w:r>
      <w:r>
        <w:rPr>
          <w:rFonts w:ascii="Arial" w:cs="Arial" w:eastAsia="Arial" w:hAnsi="Arial"/>
        </w:rPr>
        <w:t xml:space="preserve">.</w:t>
      </w:r>
    </w:p>
    <w:p>
      <w:pPr>
        <w:spacing w:after="80" w:before="40" w:line="264"/>
      </w:pPr>
      <w:r>
        <w:rPr>
          <w:rFonts w:ascii="Arial" w:cs="Arial" w:eastAsia="Arial" w:hAnsi="Arial"/>
          <w:b/>
          <w:bCs/>
        </w:rPr>
        <w:t xml:space="preserve">Unique contribution:</w:t>
      </w:r>
      <w:r>
        <w:rPr>
          <w:rFonts w:ascii="Arial" w:cs="Arial" w:eastAsia="Arial" w:hAnsi="Arial"/>
        </w:rPr>
        <w:t xml:space="preserve"> the first open, reproducible pipeline that links VAHAN EV demand to a de-duplicated charger census, measures MoP 2024 norm compliance, and sizes DC charging by corridor as well as energy.</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Pr>
      <w:tblGrid>
        <w:gridCol w:w="9752"/>
      </w:tblGrid>
      <w:tr>
        <w:tc>
          <w:tcPr>
            <w:tcW w:type="dxa" w:w="9752"/>
            <w:shd w:fill="DBE9F6" w:color="auto" w:val="clear"/>
            <w:tcMar>
              <w:top w:type="dxa" w:w="100"/>
              <w:left w:type="dxa" w:w="160"/>
              <w:bottom w:type="dxa" w:w="100"/>
              <w:right w:type="dxa" w:w="160"/>
            </w:tcMar>
          </w:tcPr>
          <w:p>
            <w:pPr>
              <w:spacing w:after="50" w:line="252"/>
            </w:pPr>
            <w:r>
              <w:rPr>
                <w:rFonts w:ascii="Arial" w:cs="Arial" w:eastAsia="Arial" w:hAnsi="Arial"/>
                <w:b/>
                <w:bCs/>
                <w:sz w:val="18"/>
                <w:szCs w:val="18"/>
              </w:rPr>
              <w:t xml:space="preserve">Headline evidence from our working prototype (Odisha, data read 17 Oct 2026)</w:t>
            </w:r>
          </w:p>
          <w:p>
            <w:pPr>
              <w:spacing w:after="50" w:line="252"/>
            </w:pPr>
            <w:r>
              <w:rPr>
                <w:rFonts w:ascii="Arial" w:cs="Arial" w:eastAsia="Arial" w:hAnsi="Arial"/>
                <w:b/>
                <w:bCs/>
                <w:sz w:val="18"/>
                <w:szCs w:val="18"/>
              </w:rPr>
              <w:t xml:space="preserve">1. ~408 EVs per public charging station in Odisha vs ~106 in Karnataka (3.8×).</w:t>
            </w:r>
            <w:r>
              <w:rPr>
                <w:rFonts w:ascii="Arial" w:cs="Arial" w:eastAsia="Arial" w:hAnsi="Arial"/>
                <w:sz w:val="18"/>
                <w:szCs w:val="18"/>
              </w:rPr>
              <w:t xml:space="preserve"> EV stock FY 2025-26 from VAHAN: Odisha 2.47 lakh, Karnataka 7.25 lakh. Station counts from MHI: Odisha 606 (unverified), Karnataka 6,805.</w:t>
            </w:r>
          </w:p>
          <w:p>
            <w:pPr>
              <w:spacing w:after="50" w:line="252"/>
            </w:pPr>
            <w:r>
              <w:rPr>
                <w:rFonts w:ascii="Arial" w:cs="Arial" w:eastAsia="Arial" w:hAnsi="Arial"/>
                <w:b/>
                <w:bCs/>
                <w:sz w:val="18"/>
                <w:szCs w:val="18"/>
              </w:rPr>
              <w:t xml:space="preserve">2. Only 24.6% of Bhubaneswar has a public charger within 1 km.</w:t>
            </w:r>
            <w:r>
              <w:rPr>
                <w:rFonts w:ascii="Arial" w:cs="Arial" w:eastAsia="Arial" w:hAnsi="Arial"/>
                <w:sz w:val="18"/>
                <w:szCs w:val="18"/>
              </w:rPr>
              <w:t xml:space="preserve"> There are 19 stations; the MoP 2024 norm implies about 147.</w:t>
            </w:r>
          </w:p>
          <w:p>
            <w:pPr>
              <w:spacing w:after="50" w:line="252"/>
            </w:pPr>
            <w:r>
              <w:rPr>
                <w:rFonts w:ascii="Arial" w:cs="Arial" w:eastAsia="Arial" w:hAnsi="Arial"/>
                <w:b/>
                <w:bCs/>
                <w:sz w:val="18"/>
                <w:szCs w:val="18"/>
              </w:rPr>
              <w:t xml:space="preserve">3. Odisha needs about 2,940 public charge points by FY 2029-30 (Base; range 2,510 to 5,380), against about 740 today</w:t>
            </w:r>
            <w:r>
              <w:rPr>
                <w:rFonts w:ascii="Arial" w:cs="Arial" w:eastAsia="Arial" w:hAnsi="Arial"/>
                <w:sz w:val="18"/>
                <w:szCs w:val="18"/>
              </w:rPr>
              <w:t xml:space="preserve">, roughly 4×. NH-16 has 6 stretches longer than 20 km with no public charger.</w:t>
            </w:r>
          </w:p>
        </w:tc>
      </w:tr>
    </w:tbl>
    <w:p>
      <w:pPr>
        <w:spacing w:after="80"/>
      </w:pPr>
    </w:p>
    <w:p>
      <w:pPr>
        <w:spacing w:after="80" w:before="0" w:line="264"/>
      </w:pPr>
      <w:r>
        <w:rPr>
          <w:rFonts w:ascii="Arial" w:cs="Arial" w:eastAsia="Arial" w:hAnsi="Arial"/>
          <w:i/>
          <w:iCs/>
          <w:color w:val="444444"/>
          <w:sz w:val="17"/>
          <w:szCs w:val="17"/>
        </w:rPr>
        <w:t xml:space="preserve">Throughout this document, "Done" marks results already produced by our prototype on real data, and "Round 2" marks planned work.</w:t>
      </w:r>
    </w:p>
    <w:p>
      <w:pPr>
        <w:pStyle w:val="Heading1"/>
        <w:keepNext/>
        <w:spacing w:after="100" w:before="200"/>
      </w:pPr>
      <w:r>
        <w:t xml:space="preserve">2. Problem and relevance</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316"/>
        <w:gridCol w:w="2145"/>
        <w:gridCol w:w="4291"/>
      </w:tblGrid>
      <w:tr>
        <w:trPr>
          <w:cantSplit/>
          <w:tblHeader/>
        </w:trPr>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Charger count (same scope?)</w:t>
            </w:r>
          </w:p>
        </w:tc>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Value</w:t>
            </w:r>
          </w:p>
        </w:tc>
        <w:tc>
          <w:tcPr>
            <w:tcW w:type="dxa" w:w="429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What it actually counts</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India, MHI reply, Mar 2026 [7]</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27,737 stations</w:t>
            </w:r>
          </w:p>
        </w:tc>
        <w:tc>
          <w:tcPr>
            <w:tcW w:type="dxa" w:w="4291"/>
            <w:tcMar>
              <w:top w:type="dxa" w:w="50"/>
              <w:left w:type="dxa" w:w="80"/>
              <w:bottom w:type="dxa" w:w="50"/>
              <w:right w:type="dxa" w:w="80"/>
            </w:tcMar>
            <w:vAlign w:val="center"/>
          </w:tcPr>
          <w:p>
            <w:pPr>
              <w:spacing w:after="0" w:line="240"/>
            </w:pPr>
            <w:r>
              <w:rPr>
                <w:rFonts w:ascii="Arial" w:cs="Arial" w:eastAsia="Arial" w:hAnsi="Arial"/>
                <w:sz w:val="16"/>
                <w:szCs w:val="16"/>
              </w:rPr>
              <w:t xml:space="preserve">Oil-company (IOCL/BPCL/HPCL) stations only</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India, MHI Rajya Sabha reply, Jul 2026 [6]</w:t>
            </w:r>
          </w:p>
        </w:tc>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52,718 stations</w:t>
            </w:r>
          </w:p>
        </w:tc>
        <w:tc>
          <w:tcPr>
            <w:tcW w:type="dxa" w:w="429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All installed stations; no fast/slow split maintained</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Karnataka: OMC / BEE 2024 / MHI 2026 [7][9][6]</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2,400 / 5,765 / 6,805</w:t>
            </w:r>
          </w:p>
        </w:tc>
        <w:tc>
          <w:tcPr>
            <w:tcW w:type="dxa" w:w="4291"/>
            <w:tcMar>
              <w:top w:type="dxa" w:w="50"/>
              <w:left w:type="dxa" w:w="80"/>
              <w:bottom w:type="dxa" w:w="50"/>
              <w:right w:type="dxa" w:w="80"/>
            </w:tcMar>
            <w:vAlign w:val="center"/>
          </w:tcPr>
          <w:p>
            <w:pPr>
              <w:spacing w:after="0" w:line="240"/>
            </w:pPr>
            <w:r>
              <w:rPr>
                <w:rFonts w:ascii="Arial" w:cs="Arial" w:eastAsia="Arial" w:hAnsi="Arial"/>
                <w:sz w:val="16"/>
                <w:szCs w:val="16"/>
              </w:rPr>
              <w:t xml:space="preserve">Different scope and dates; up to 2.8× apart</w:t>
            </w:r>
          </w:p>
        </w:tc>
      </w:tr>
    </w:tbl>
    <w:p>
      <w:pPr>
        <w:spacing w:after="80"/>
      </w:pPr>
    </w:p>
    <w:p>
      <w:pPr>
        <w:pStyle w:val="ListParagraph"/>
        <w:numPr>
          <w:ilvl w:val="0"/>
          <w:numId w:val="2"/>
        </w:numPr>
        <w:spacing w:after="40" w:line="252"/>
      </w:pPr>
      <w:r>
        <w:rPr>
          <w:rFonts w:ascii="Arial" w:cs="Arial" w:eastAsia="Arial" w:hAnsi="Arial"/>
          <w:b/>
          <w:bCs/>
        </w:rPr>
        <w:t xml:space="preserve">Counts conflict.</w:t>
      </w:r>
      <w:r>
        <w:rPr>
          <w:rFonts w:ascii="Arial" w:cs="Arial" w:eastAsia="Arial" w:hAnsi="Arial"/>
        </w:rPr>
        <w:t xml:space="preserve"> Sources differ on stations vs charge points, public vs captive chargers, installed vs operational, and date. There is no single trusted, geolocated public dataset.</w:t>
      </w:r>
    </w:p>
    <w:p>
      <w:pPr>
        <w:pStyle w:val="ListParagraph"/>
        <w:numPr>
          <w:ilvl w:val="0"/>
          <w:numId w:val="2"/>
        </w:numPr>
        <w:spacing w:after="40" w:line="252"/>
      </w:pPr>
      <w:r>
        <w:rPr>
          <w:rFonts w:ascii="Arial" w:cs="Arial" w:eastAsia="Arial" w:hAnsi="Arial"/>
          <w:b/>
          <w:bCs/>
        </w:rPr>
        <w:t xml:space="preserve">EV demand is outpacing chargers.</w:t>
      </w:r>
      <w:r>
        <w:rPr>
          <w:rFonts w:ascii="Arial" w:cs="Arial" w:eastAsia="Arial" w:hAnsi="Arial"/>
        </w:rPr>
        <w:t xml:space="preserve"> Odisha new EV registrations rose from 989 (FY 2019-20) to 91,715 (FY 2025-26). The EV share of new registrations is now </w:t>
      </w:r>
      <w:r>
        <w:rPr>
          <w:rFonts w:ascii="Arial" w:cs="Arial" w:eastAsia="Arial" w:hAnsi="Arial"/>
          <w:b/>
          <w:bCs/>
        </w:rPr>
        <w:t xml:space="preserve">9.8%</w:t>
      </w:r>
      <w:r>
        <w:rPr>
          <w:rFonts w:ascii="Arial" w:cs="Arial" w:eastAsia="Arial" w:hAnsi="Arial"/>
        </w:rPr>
        <w:t xml:space="preserve"> (Figure 1) [1].</w:t>
      </w:r>
    </w:p>
    <w:p>
      <w:pPr>
        <w:pStyle w:val="ListParagraph"/>
        <w:numPr>
          <w:ilvl w:val="0"/>
          <w:numId w:val="2"/>
        </w:numPr>
        <w:spacing w:after="40" w:line="252"/>
      </w:pPr>
      <w:r>
        <w:rPr>
          <w:rFonts w:ascii="Arial" w:cs="Arial" w:eastAsia="Arial" w:hAnsi="Arial"/>
          <w:b/>
          <w:bCs/>
        </w:rPr>
        <w:t xml:space="preserve">Norms are not measured.</w:t>
      </w:r>
      <w:r>
        <w:rPr>
          <w:rFonts w:ascii="Arial" w:cs="Arial" w:eastAsia="Arial" w:hAnsi="Arial"/>
        </w:rPr>
        <w:t xml:space="preserve"> MoP Guidelines (17 Sep 2024) [5] set ≥1 public station per 1×1 km urban grid by FY 2030, one every 20 km on both sides of highways, and fast charging every 100 km for heavy vehicles. No public tool reports compliance.</w:t>
      </w:r>
    </w:p>
    <w:p>
      <w:pPr>
        <w:pStyle w:val="ListParagraph"/>
        <w:numPr>
          <w:ilvl w:val="0"/>
          <w:numId w:val="2"/>
        </w:numPr>
        <w:spacing w:after="40" w:line="252"/>
      </w:pPr>
      <w:r>
        <w:rPr>
          <w:rFonts w:ascii="Arial" w:cs="Arial" w:eastAsia="Arial" w:hAnsi="Arial"/>
          <w:b/>
          <w:bCs/>
        </w:rPr>
        <w:t xml:space="preserve">Decisions are being made now.</w:t>
      </w:r>
      <w:r>
        <w:rPr>
          <w:rFonts w:ascii="Arial" w:cs="Arial" w:eastAsia="Arial" w:hAnsi="Arial"/>
        </w:rPr>
        <w:t xml:space="preserve"> PM E-DRIVE funds 72,300 public stations (₹2,000 crore, to Mar 2028) [10]. Odisha has 170 stations / 688 points approved across 6 cities [11]. Allocation needs district-level evidence.</w:t>
      </w:r>
    </w:p>
    <w:p>
      <w:pPr>
        <w:keepNext/>
        <w:spacing w:after="40"/>
        <w:jc w:val="center"/>
      </w:pPr>
      <w:r>
        <w:drawing>
          <wp:inline distT="0" distB="0" distL="0" distR="0">
            <wp:extent cx="4857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57750" cy="2819400"/>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1.</w:t>
      </w:r>
      <w:r>
        <w:rPr>
          <w:rFonts w:ascii="Arial" w:cs="Arial" w:eastAsia="Arial" w:hAnsi="Arial"/>
          <w:sz w:val="17"/>
          <w:szCs w:val="17"/>
        </w:rPr>
        <w:t xml:space="preserve"> Odisha new EV registrations by segment, FY 2017-18 to FY 2025-26 (in-scope segments).</w:t>
      </w:r>
    </w:p>
    <w:p>
      <w:pPr>
        <w:spacing w:after="120"/>
        <w:jc w:val="center"/>
      </w:pPr>
      <w:r>
        <w:rPr>
          <w:rFonts w:ascii="Arial" w:cs="Arial" w:eastAsia="Arial" w:hAnsi="Arial"/>
          <w:i/>
          <w:iCs/>
          <w:color w:val="555555"/>
          <w:sz w:val="15"/>
          <w:szCs w:val="15"/>
        </w:rPr>
        <w:t xml:space="preserve">Source: VAHAN 4 dashboard (MoRTH), fuel = ELECTRIC(BOV) + PURE EV; read 17 Oct 2026 [1].</w:t>
      </w:r>
    </w:p>
    <w:p>
      <w:pPr>
        <w:pStyle w:val="Heading1"/>
        <w:keepNext/>
        <w:spacing w:after="100" w:before="200"/>
      </w:pPr>
      <w:r>
        <w:t xml:space="preserve">3. Users and scope</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755"/>
        <w:gridCol w:w="4096"/>
        <w:gridCol w:w="3901"/>
      </w:tblGrid>
      <w:tr>
        <w:trPr>
          <w:cantSplit/>
          <w:tblHeader/>
        </w:trPr>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User</w:t>
            </w:r>
          </w:p>
        </w:tc>
        <w:tc>
          <w:tcPr>
            <w:tcW w:type="dxa" w:w="409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Decision</w:t>
            </w:r>
          </w:p>
        </w:tc>
        <w:tc>
          <w:tcPr>
            <w:tcW w:type="dxa" w:w="390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Output they use</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MHI / BEE</w:t>
            </w:r>
          </w:p>
        </w:tc>
        <w:tc>
          <w:tcPr>
            <w:tcW w:type="dxa" w:w="4096"/>
            <w:tcMar>
              <w:top w:type="dxa" w:w="50"/>
              <w:left w:type="dxa" w:w="80"/>
              <w:bottom w:type="dxa" w:w="50"/>
              <w:right w:type="dxa" w:w="80"/>
            </w:tcMar>
            <w:vAlign w:val="center"/>
          </w:tcPr>
          <w:p>
            <w:pPr>
              <w:spacing w:after="0" w:line="240"/>
            </w:pPr>
            <w:r>
              <w:rPr>
                <w:rFonts w:ascii="Arial" w:cs="Arial" w:eastAsia="Arial" w:hAnsi="Arial"/>
                <w:sz w:val="16"/>
                <w:szCs w:val="16"/>
              </w:rPr>
              <w:t xml:space="preserve">PM E-DRIVE allocation across states and cities; national tracking</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State/district Gap Index ranking; FY30 need (light/DC); norm-compliance %</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ICAT</w:t>
            </w:r>
          </w:p>
        </w:tc>
        <w:tc>
          <w:tcPr>
            <w:tcW w:type="dxa" w:w="409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Technical evaluation of planning methods and charger mix</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Transparent, reproducible method; validation report</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State transport dept.</w:t>
            </w:r>
          </w:p>
        </w:tc>
        <w:tc>
          <w:tcPr>
            <w:tcW w:type="dxa" w:w="4096"/>
            <w:tcMar>
              <w:top w:type="dxa" w:w="50"/>
              <w:left w:type="dxa" w:w="80"/>
              <w:bottom w:type="dxa" w:w="50"/>
              <w:right w:type="dxa" w:w="80"/>
            </w:tcMar>
            <w:vAlign w:val="center"/>
          </w:tcPr>
          <w:p>
            <w:pPr>
              <w:spacing w:after="0" w:line="240"/>
            </w:pPr>
            <w:r>
              <w:rPr>
                <w:rFonts w:ascii="Arial" w:cs="Arial" w:eastAsia="Arial" w:hAnsi="Arial"/>
                <w:sz w:val="16"/>
                <w:szCs w:val="16"/>
              </w:rPr>
              <w:t xml:space="preserve">EV policy targets; PM E-DRIVE site requests</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District gaps; ranked candidate sites; 3 scenarios</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DISCOM</w:t>
            </w:r>
          </w:p>
        </w:tc>
        <w:tc>
          <w:tcPr>
            <w:tcW w:type="dxa" w:w="409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Grid upgrades, connection capacity</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kW added per substation area; grid-aware sites</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Urban local body</w:t>
            </w:r>
          </w:p>
        </w:tc>
        <w:tc>
          <w:tcPr>
            <w:tcW w:type="dxa" w:w="4096"/>
            <w:tcMar>
              <w:top w:type="dxa" w:w="50"/>
              <w:left w:type="dxa" w:w="80"/>
              <w:bottom w:type="dxa" w:w="50"/>
              <w:right w:type="dxa" w:w="80"/>
            </w:tcMar>
            <w:vAlign w:val="center"/>
          </w:tcPr>
          <w:p>
            <w:pPr>
              <w:spacing w:after="0" w:line="240"/>
            </w:pPr>
            <w:r>
              <w:rPr>
                <w:rFonts w:ascii="Arial" w:cs="Arial" w:eastAsia="Arial" w:hAnsi="Arial"/>
                <w:sz w:val="16"/>
                <w:szCs w:val="16"/>
              </w:rPr>
              <w:t xml:space="preserve">Public land for charging stations</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Uncovered H3 cells inside the city; candidate sites</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145"/>
        <w:gridCol w:w="7607"/>
      </w:tblGrid>
      <w:tr>
        <w:trPr>
          <w:cantSplit/>
          <w:tblHeader/>
        </w:trPr>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Scope item</w:t>
            </w:r>
          </w:p>
        </w:tc>
        <w:tc>
          <w:tcPr>
            <w:tcW w:type="dxa" w:w="7607"/>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Decision</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Geography</w:t>
            </w:r>
          </w:p>
        </w:tc>
        <w:tc>
          <w:tcPr>
            <w:tcW w:type="dxa" w:w="7607"/>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Odisha (primary, 30 districts); Karnataka (benchmark, 31 districts); method designed for all states</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Units</w:t>
            </w:r>
          </w:p>
        </w:tc>
        <w:tc>
          <w:tcPr>
            <w:tcW w:type="dxa" w:w="7607"/>
            <w:shd w:fill="F3F6FA" w:color="auto" w:val="clear"/>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District (reporting, LGD code) · H3 hexagons (res 8 urban ≈ 0.74 km², res 7 rural) · National Highway segments</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Segments</w:t>
            </w:r>
          </w:p>
        </w:tc>
        <w:tc>
          <w:tcPr>
            <w:tcW w:type="dxa" w:w="7607"/>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2W; 3W e-auto/L5; 3W e-rickshaw (flagged separately); cars (4W). Buses: depot context layer only</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Charger classes</w:t>
            </w:r>
          </w:p>
        </w:tc>
        <w:tc>
          <w:tcPr>
            <w:tcW w:type="dxa" w:w="7607"/>
            <w:shd w:fill="F3F6FA" w:color="auto" w:val="clear"/>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Light (&lt;30 kW: AC + LEV DC) · DC (≥30 kW) · battery swap (separate layer)</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Time</w:t>
            </w:r>
          </w:p>
        </w:tc>
        <w:tc>
          <w:tcPr>
            <w:tcW w:type="dxa" w:w="7607"/>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Base year FY 2025-26; forecast FY 2029-30 (national 30% EV-sales goal); milestone FY 2027-28 (PM E-DRIVE end)</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Out of scope</w:t>
            </w:r>
          </w:p>
        </w:tc>
        <w:tc>
          <w:tcPr>
            <w:tcW w:type="dxa" w:w="7607"/>
            <w:shd w:fill="F3F6FA" w:color="auto" w:val="clear"/>
            <w:tcMar>
              <w:top w:type="dxa" w:w="50"/>
              <w:left w:type="dxa" w:w="80"/>
              <w:bottom w:type="dxa" w:w="50"/>
              <w:right w:type="dxa" w:w="80"/>
            </w:tcMar>
            <w:vAlign w:val="center"/>
          </w:tcPr>
          <w:p>
            <w:pPr>
              <w:spacing w:after="0" w:line="240"/>
            </w:pPr>
            <w:r>
              <w:rPr>
                <w:rFonts w:ascii="Arial" w:cs="Arial" w:eastAsia="Arial" w:hAnsi="Arial"/>
                <w:b w:val="false"/>
                <w:bCs w:val="false"/>
                <w:sz w:val="16"/>
                <w:szCs w:val="16"/>
              </w:rPr>
              <w:t xml:space="preserve">Home/captive chargers, tariffs, real-time availability, feeder-level power flow, land permits</w:t>
            </w:r>
          </w:p>
        </w:tc>
      </w:tr>
    </w:tbl>
    <w:p>
      <w:pPr>
        <w:spacing w:after="80"/>
      </w:pPr>
    </w:p>
    <w:p>
      <w:pPr>
        <w:keepNext/>
        <w:spacing w:after="40"/>
        <w:jc w:val="center"/>
      </w:pPr>
      <w:r>
        <w:drawing>
          <wp:inline distT="0" distB="0" distL="0" distR="0">
            <wp:extent cx="5038725" cy="23717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38725" cy="2371725"/>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2.</w:t>
      </w:r>
      <w:r>
        <w:rPr>
          <w:rFonts w:ascii="Arial" w:cs="Arial" w:eastAsia="Arial" w:hAnsi="Arial"/>
          <w:sz w:val="17"/>
          <w:szCs w:val="17"/>
        </w:rPr>
        <w:t xml:space="preserve"> User journeys on the planned dashboard (Round 2).</w:t>
      </w:r>
    </w:p>
    <w:p>
      <w:pPr>
        <w:spacing w:after="120"/>
        <w:jc w:val="center"/>
      </w:pPr>
      <w:r>
        <w:rPr>
          <w:rFonts w:ascii="Arial" w:cs="Arial" w:eastAsia="Arial" w:hAnsi="Arial"/>
          <w:i/>
          <w:iCs/>
          <w:color w:val="555555"/>
          <w:sz w:val="15"/>
          <w:szCs w:val="15"/>
        </w:rPr>
        <w:t xml:space="preserve">Source: Team design (Phase 4).</w:t>
      </w:r>
    </w:p>
    <w:p>
      <w:pPr>
        <w:pStyle w:val="Heading1"/>
        <w:keepNext/>
        <w:spacing w:after="100" w:before="200"/>
      </w:pPr>
      <w:r>
        <w:t xml:space="preserve">4. Data strategy</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658"/>
        <w:gridCol w:w="2633"/>
        <w:gridCol w:w="2048"/>
        <w:gridCol w:w="1560"/>
        <w:gridCol w:w="1853"/>
      </w:tblGrid>
      <w:tr>
        <w:trPr>
          <w:cantSplit/>
          <w:tblHeader/>
        </w:trPr>
        <w:tc>
          <w:tcPr>
            <w:tcW w:type="dxa" w:w="165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Layer</w:t>
            </w:r>
          </w:p>
        </w:tc>
        <w:tc>
          <w:tcPr>
            <w:tcW w:type="dxa" w:w="263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Primary source</w:t>
            </w:r>
          </w:p>
        </w:tc>
        <w:tc>
          <w:tcPr>
            <w:tcW w:type="dxa" w:w="204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Fallback</w:t>
            </w:r>
          </w:p>
        </w:tc>
        <w:tc>
          <w:tcPr>
            <w:tcW w:type="dxa" w:w="1560"/>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Granularity</w:t>
            </w:r>
          </w:p>
        </w:tc>
        <w:tc>
          <w:tcPr>
            <w:tcW w:type="dxa" w:w="185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Licence / access</w:t>
            </w:r>
          </w:p>
        </w:tc>
      </w:tr>
      <w:tr>
        <w:trPr>
          <w:cantSplit/>
        </w:trPr>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EV registrations</w:t>
            </w:r>
          </w:p>
        </w:tc>
        <w:tc>
          <w:tcPr>
            <w:tcW w:type="dxa" w:w="2633"/>
            <w:tcMar>
              <w:top w:type="dxa" w:w="50"/>
              <w:left w:type="dxa" w:w="80"/>
              <w:bottom w:type="dxa" w:w="50"/>
              <w:right w:type="dxa" w:w="80"/>
            </w:tcMar>
            <w:vAlign w:val="center"/>
          </w:tcPr>
          <w:p>
            <w:pPr>
              <w:spacing w:after="0" w:line="240"/>
            </w:pPr>
            <w:r>
              <w:rPr>
                <w:rFonts w:ascii="Arial" w:cs="Arial" w:eastAsia="Arial" w:hAnsi="Arial"/>
                <w:sz w:val="15"/>
                <w:szCs w:val="15"/>
              </w:rPr>
              <w:t xml:space="preserve">VAHAN 4 dashboard, FY 2017-18 to FY 2025-26 [1]</w:t>
            </w:r>
          </w:p>
        </w:tc>
        <w:tc>
          <w:tcPr>
            <w:tcW w:type="dxa" w:w="2048"/>
            <w:tcMar>
              <w:top w:type="dxa" w:w="50"/>
              <w:left w:type="dxa" w:w="80"/>
              <w:bottom w:type="dxa" w:w="50"/>
              <w:right w:type="dxa" w:w="80"/>
            </w:tcMar>
            <w:vAlign w:val="center"/>
          </w:tcPr>
          <w:p>
            <w:pPr>
              <w:spacing w:after="0" w:line="240"/>
            </w:pPr>
            <w:r>
              <w:rPr>
                <w:rFonts w:ascii="Arial" w:cs="Arial" w:eastAsia="Arial" w:hAnsi="Arial"/>
                <w:sz w:val="15"/>
                <w:szCs w:val="15"/>
              </w:rPr>
              <w:t xml:space="preserve">IndiaDataPortal VAHAN mirror</w:t>
            </w:r>
          </w:p>
        </w:tc>
        <w:tc>
          <w:tcPr>
            <w:tcW w:type="dxa" w:w="1560"/>
            <w:tcMar>
              <w:top w:type="dxa" w:w="50"/>
              <w:left w:type="dxa" w:w="80"/>
              <w:bottom w:type="dxa" w:w="50"/>
              <w:right w:type="dxa" w:w="80"/>
            </w:tcMar>
            <w:vAlign w:val="center"/>
          </w:tcPr>
          <w:p>
            <w:pPr>
              <w:spacing w:after="0" w:line="240"/>
            </w:pPr>
            <w:r>
              <w:rPr>
                <w:rFonts w:ascii="Arial" w:cs="Arial" w:eastAsia="Arial" w:hAnsi="Arial"/>
                <w:sz w:val="15"/>
                <w:szCs w:val="15"/>
              </w:rPr>
              <w:t xml:space="preserve">RTO × class × FY</w:t>
            </w:r>
          </w:p>
        </w:tc>
        <w:tc>
          <w:tcPr>
            <w:tcW w:type="dxa" w:w="1853"/>
            <w:tcMar>
              <w:top w:type="dxa" w:w="50"/>
              <w:left w:type="dxa" w:w="80"/>
              <w:bottom w:type="dxa" w:w="50"/>
              <w:right w:type="dxa" w:w="80"/>
            </w:tcMar>
            <w:vAlign w:val="center"/>
          </w:tcPr>
          <w:p>
            <w:pPr>
              <w:spacing w:after="0" w:line="240"/>
            </w:pPr>
            <w:r>
              <w:rPr>
                <w:rFonts w:ascii="Arial" w:cs="Arial" w:eastAsia="Arial" w:hAnsi="Arial"/>
                <w:sz w:val="15"/>
                <w:szCs w:val="15"/>
              </w:rPr>
              <w:t xml:space="preserve">Govt open data; read in browser</w:t>
            </w:r>
          </w:p>
        </w:tc>
      </w:tr>
      <w:tr>
        <w:trPr>
          <w:cantSplit/>
        </w:trPr>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RTO → district</w:t>
            </w:r>
          </w:p>
        </w:tc>
        <w:tc>
          <w:tcPr>
            <w:tcW w:type="dxa" w:w="263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Official VAHAN office list (39 Odisha offices)</w:t>
            </w:r>
          </w:p>
        </w:tc>
        <w:tc>
          <w:tcPr>
            <w:tcW w:type="dxa" w:w="204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State RTO lists</w:t>
            </w:r>
          </w:p>
        </w:tc>
        <w:tc>
          <w:tcPr>
            <w:tcW w:type="dxa" w:w="156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RTO</w:t>
            </w:r>
          </w:p>
        </w:tc>
        <w:tc>
          <w:tcPr>
            <w:tcW w:type="dxa" w:w="185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Built by team</w:t>
            </w:r>
          </w:p>
        </w:tc>
      </w:tr>
      <w:tr>
        <w:trPr>
          <w:cantSplit/>
        </w:trPr>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Public chargers</w:t>
            </w:r>
          </w:p>
        </w:tc>
        <w:tc>
          <w:tcPr>
            <w:tcW w:type="dxa" w:w="2633"/>
            <w:tcMar>
              <w:top w:type="dxa" w:w="50"/>
              <w:left w:type="dxa" w:w="80"/>
              <w:bottom w:type="dxa" w:w="50"/>
              <w:right w:type="dxa" w:w="80"/>
            </w:tcMar>
            <w:vAlign w:val="center"/>
          </w:tcPr>
          <w:p>
            <w:pPr>
              <w:spacing w:after="0" w:line="240"/>
            </w:pPr>
            <w:r>
              <w:rPr>
                <w:rFonts w:ascii="Arial" w:cs="Arial" w:eastAsia="Arial" w:hAnsi="Arial"/>
                <w:sz w:val="15"/>
                <w:szCs w:val="15"/>
              </w:rPr>
              <w:t xml:space="preserve">OpenChargeMap export (22 Apr 2026) + OSM [2][3]</w:t>
            </w:r>
          </w:p>
        </w:tc>
        <w:tc>
          <w:tcPr>
            <w:tcW w:type="dxa" w:w="2048"/>
            <w:tcMar>
              <w:top w:type="dxa" w:w="50"/>
              <w:left w:type="dxa" w:w="80"/>
              <w:bottom w:type="dxa" w:w="50"/>
              <w:right w:type="dxa" w:w="80"/>
            </w:tcMar>
            <w:vAlign w:val="center"/>
          </w:tcPr>
          <w:p>
            <w:pPr>
              <w:spacing w:after="0" w:line="240"/>
            </w:pPr>
            <w:r>
              <w:rPr>
                <w:rFonts w:ascii="Arial" w:cs="Arial" w:eastAsia="Arial" w:hAnsi="Arial"/>
                <w:sz w:val="15"/>
                <w:szCs w:val="15"/>
              </w:rPr>
              <w:t xml:space="preserve">Operator locators; EV Yatra spot-check</w:t>
            </w:r>
          </w:p>
        </w:tc>
        <w:tc>
          <w:tcPr>
            <w:tcW w:type="dxa" w:w="1560"/>
            <w:tcMar>
              <w:top w:type="dxa" w:w="50"/>
              <w:left w:type="dxa" w:w="80"/>
              <w:bottom w:type="dxa" w:w="50"/>
              <w:right w:type="dxa" w:w="80"/>
            </w:tcMar>
            <w:vAlign w:val="center"/>
          </w:tcPr>
          <w:p>
            <w:pPr>
              <w:spacing w:after="0" w:line="240"/>
            </w:pPr>
            <w:r>
              <w:rPr>
                <w:rFonts w:ascii="Arial" w:cs="Arial" w:eastAsia="Arial" w:hAnsi="Arial"/>
                <w:sz w:val="15"/>
                <w:szCs w:val="15"/>
              </w:rPr>
              <w:t xml:space="preserve">Point (kW, points)</w:t>
            </w:r>
          </w:p>
        </w:tc>
        <w:tc>
          <w:tcPr>
            <w:tcW w:type="dxa" w:w="1853"/>
            <w:tcMar>
              <w:top w:type="dxa" w:w="50"/>
              <w:left w:type="dxa" w:w="80"/>
              <w:bottom w:type="dxa" w:w="50"/>
              <w:right w:type="dxa" w:w="80"/>
            </w:tcMar>
            <w:vAlign w:val="center"/>
          </w:tcPr>
          <w:p>
            <w:pPr>
              <w:spacing w:after="0" w:line="240"/>
            </w:pPr>
            <w:r>
              <w:rPr>
                <w:rFonts w:ascii="Arial" w:cs="Arial" w:eastAsia="Arial" w:hAnsi="Arial"/>
                <w:sz w:val="15"/>
                <w:szCs w:val="15"/>
              </w:rPr>
              <w:t xml:space="preserve">Provider licences; ODbL</w:t>
            </w:r>
          </w:p>
        </w:tc>
      </w:tr>
      <w:tr>
        <w:trPr>
          <w:cantSplit/>
        </w:trPr>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Official counts</w:t>
            </w:r>
          </w:p>
        </w:tc>
        <w:tc>
          <w:tcPr>
            <w:tcW w:type="dxa" w:w="263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MHI / Parliament annexures [6][7]</w:t>
            </w:r>
          </w:p>
        </w:tc>
        <w:tc>
          <w:tcPr>
            <w:tcW w:type="dxa" w:w="204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BEE releases [9]</w:t>
            </w:r>
          </w:p>
        </w:tc>
        <w:tc>
          <w:tcPr>
            <w:tcW w:type="dxa" w:w="156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State</w:t>
            </w:r>
          </w:p>
        </w:tc>
        <w:tc>
          <w:tcPr>
            <w:tcW w:type="dxa" w:w="185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Public</w:t>
            </w:r>
          </w:p>
        </w:tc>
      </w:tr>
      <w:tr>
        <w:trPr>
          <w:cantSplit/>
        </w:trPr>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Boundaries</w:t>
            </w:r>
          </w:p>
        </w:tc>
        <w:tc>
          <w:tcPr>
            <w:tcW w:type="dxa" w:w="2633"/>
            <w:tcMar>
              <w:top w:type="dxa" w:w="50"/>
              <w:left w:type="dxa" w:w="80"/>
              <w:bottom w:type="dxa" w:w="50"/>
              <w:right w:type="dxa" w:w="80"/>
            </w:tcMar>
            <w:vAlign w:val="center"/>
          </w:tcPr>
          <w:p>
            <w:pPr>
              <w:spacing w:after="0" w:line="240"/>
            </w:pPr>
            <w:r>
              <w:rPr>
                <w:rFonts w:ascii="Arial" w:cs="Arial" w:eastAsia="Arial" w:hAnsi="Arial"/>
                <w:sz w:val="15"/>
                <w:szCs w:val="15"/>
              </w:rPr>
              <w:t xml:space="preserve">OSM admin_level 5 + LGD codes [3][26]</w:t>
            </w:r>
          </w:p>
        </w:tc>
        <w:tc>
          <w:tcPr>
            <w:tcW w:type="dxa" w:w="2048"/>
            <w:tcMar>
              <w:top w:type="dxa" w:w="50"/>
              <w:left w:type="dxa" w:w="80"/>
              <w:bottom w:type="dxa" w:w="50"/>
              <w:right w:type="dxa" w:w="80"/>
            </w:tcMar>
            <w:vAlign w:val="center"/>
          </w:tcPr>
          <w:p>
            <w:pPr>
              <w:spacing w:after="0" w:line="240"/>
            </w:pPr>
            <w:r>
              <w:rPr>
                <w:rFonts w:ascii="Arial" w:cs="Arial" w:eastAsia="Arial" w:hAnsi="Arial"/>
                <w:sz w:val="15"/>
                <w:szCs w:val="15"/>
              </w:rPr>
              <w:t xml:space="preserve">Survey of India; DataMeet</w:t>
            </w:r>
          </w:p>
        </w:tc>
        <w:tc>
          <w:tcPr>
            <w:tcW w:type="dxa" w:w="1560"/>
            <w:tcMar>
              <w:top w:type="dxa" w:w="50"/>
              <w:left w:type="dxa" w:w="80"/>
              <w:bottom w:type="dxa" w:w="50"/>
              <w:right w:type="dxa" w:w="80"/>
            </w:tcMar>
            <w:vAlign w:val="center"/>
          </w:tcPr>
          <w:p>
            <w:pPr>
              <w:spacing w:after="0" w:line="240"/>
            </w:pPr>
            <w:r>
              <w:rPr>
                <w:rFonts w:ascii="Arial" w:cs="Arial" w:eastAsia="Arial" w:hAnsi="Arial"/>
                <w:sz w:val="15"/>
                <w:szCs w:val="15"/>
              </w:rPr>
              <w:t xml:space="preserve">District polygon</w:t>
            </w:r>
          </w:p>
        </w:tc>
        <w:tc>
          <w:tcPr>
            <w:tcW w:type="dxa" w:w="1853"/>
            <w:tcMar>
              <w:top w:type="dxa" w:w="50"/>
              <w:left w:type="dxa" w:w="80"/>
              <w:bottom w:type="dxa" w:w="50"/>
              <w:right w:type="dxa" w:w="80"/>
            </w:tcMar>
            <w:vAlign w:val="center"/>
          </w:tcPr>
          <w:p>
            <w:pPr>
              <w:spacing w:after="0" w:line="240"/>
            </w:pPr>
            <w:r>
              <w:rPr>
                <w:rFonts w:ascii="Arial" w:cs="Arial" w:eastAsia="Arial" w:hAnsi="Arial"/>
                <w:sz w:val="15"/>
                <w:szCs w:val="15"/>
              </w:rPr>
              <w:t xml:space="preserve">ODbL</w:t>
            </w:r>
          </w:p>
        </w:tc>
      </w:tr>
      <w:tr>
        <w:trPr>
          <w:cantSplit/>
        </w:trPr>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Roads / NH, grid</w:t>
            </w:r>
          </w:p>
        </w:tc>
        <w:tc>
          <w:tcPr>
            <w:tcW w:type="dxa" w:w="263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OSM (Overpass, Geofabrik) [3]</w:t>
            </w:r>
          </w:p>
        </w:tc>
        <w:tc>
          <w:tcPr>
            <w:tcW w:type="dxa" w:w="204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NHAI toll list; OPTCL</w:t>
            </w:r>
          </w:p>
        </w:tc>
        <w:tc>
          <w:tcPr>
            <w:tcW w:type="dxa" w:w="156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Line / point</w:t>
            </w:r>
          </w:p>
        </w:tc>
        <w:tc>
          <w:tcPr>
            <w:tcW w:type="dxa" w:w="185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ODbL</w:t>
            </w:r>
          </w:p>
        </w:tc>
      </w:tr>
      <w:tr>
        <w:trPr>
          <w:cantSplit/>
        </w:trPr>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Population, activity</w:t>
            </w:r>
          </w:p>
        </w:tc>
        <w:tc>
          <w:tcPr>
            <w:tcW w:type="dxa" w:w="2633"/>
            <w:tcMar>
              <w:top w:type="dxa" w:w="50"/>
              <w:left w:type="dxa" w:w="80"/>
              <w:bottom w:type="dxa" w:w="50"/>
              <w:right w:type="dxa" w:w="80"/>
            </w:tcMar>
            <w:vAlign w:val="center"/>
          </w:tcPr>
          <w:p>
            <w:pPr>
              <w:spacing w:after="0" w:line="240"/>
            </w:pPr>
            <w:r>
              <w:rPr>
                <w:rFonts w:ascii="Arial" w:cs="Arial" w:eastAsia="Arial" w:hAnsi="Arial"/>
                <w:sz w:val="15"/>
                <w:szCs w:val="15"/>
              </w:rPr>
              <w:t xml:space="preserve">WorldPop 2020 (1 km); GHSL; VIIRS [4][25]</w:t>
            </w:r>
          </w:p>
        </w:tc>
        <w:tc>
          <w:tcPr>
            <w:tcW w:type="dxa" w:w="2048"/>
            <w:tcMar>
              <w:top w:type="dxa" w:w="50"/>
              <w:left w:type="dxa" w:w="80"/>
              <w:bottom w:type="dxa" w:w="50"/>
              <w:right w:type="dxa" w:w="80"/>
            </w:tcMar>
            <w:vAlign w:val="center"/>
          </w:tcPr>
          <w:p>
            <w:pPr>
              <w:spacing w:after="0" w:line="240"/>
            </w:pPr>
            <w:r>
              <w:rPr>
                <w:rFonts w:ascii="Arial" w:cs="Arial" w:eastAsia="Arial" w:hAnsi="Arial"/>
                <w:sz w:val="15"/>
                <w:szCs w:val="15"/>
              </w:rPr>
              <w:t xml:space="preserve">Census 2011 + projections</w:t>
            </w:r>
          </w:p>
        </w:tc>
        <w:tc>
          <w:tcPr>
            <w:tcW w:type="dxa" w:w="1560"/>
            <w:tcMar>
              <w:top w:type="dxa" w:w="50"/>
              <w:left w:type="dxa" w:w="80"/>
              <w:bottom w:type="dxa" w:w="50"/>
              <w:right w:type="dxa" w:w="80"/>
            </w:tcMar>
            <w:vAlign w:val="center"/>
          </w:tcPr>
          <w:p>
            <w:pPr>
              <w:spacing w:after="0" w:line="240"/>
            </w:pPr>
            <w:r>
              <w:rPr>
                <w:rFonts w:ascii="Arial" w:cs="Arial" w:eastAsia="Arial" w:hAnsi="Arial"/>
                <w:sz w:val="15"/>
                <w:szCs w:val="15"/>
              </w:rPr>
              <w:t xml:space="preserve">Raster → H3</w:t>
            </w:r>
          </w:p>
        </w:tc>
        <w:tc>
          <w:tcPr>
            <w:tcW w:type="dxa" w:w="1853"/>
            <w:tcMar>
              <w:top w:type="dxa" w:w="50"/>
              <w:left w:type="dxa" w:w="80"/>
              <w:bottom w:type="dxa" w:w="50"/>
              <w:right w:type="dxa" w:w="80"/>
            </w:tcMar>
            <w:vAlign w:val="center"/>
          </w:tcPr>
          <w:p>
            <w:pPr>
              <w:spacing w:after="0" w:line="240"/>
            </w:pPr>
            <w:r>
              <w:rPr>
                <w:rFonts w:ascii="Arial" w:cs="Arial" w:eastAsia="Arial" w:hAnsi="Arial"/>
                <w:sz w:val="15"/>
                <w:szCs w:val="15"/>
              </w:rPr>
              <w:t xml:space="preserve">CC BY 4.0</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316"/>
        <w:gridCol w:w="2145"/>
        <w:gridCol w:w="2145"/>
        <w:gridCol w:w="2146"/>
      </w:tblGrid>
      <w:tr>
        <w:trPr>
          <w:cantSplit/>
          <w:tblHeader/>
        </w:trPr>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Completeness of open charger data (Done)</w:t>
            </w:r>
          </w:p>
        </w:tc>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Our sites</w:t>
            </w:r>
          </w:p>
        </w:tc>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Official stations</w:t>
            </w:r>
          </w:p>
        </w:tc>
        <w:tc>
          <w:tcPr>
            <w:tcW w:type="dxa" w:w="214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Completeness</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Odisha (OCM 239 + OSM 2 records; 3 duplicates and 9 closed removed)</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229</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606 (unverified) [8]</w:t>
            </w:r>
          </w:p>
        </w:tc>
        <w:tc>
          <w:tcPr>
            <w:tcW w:type="dxa" w:w="214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38%</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Karnataka</w:t>
            </w:r>
          </w:p>
        </w:tc>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415</w:t>
            </w:r>
          </w:p>
        </w:tc>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6,805 [6]</w:t>
            </w:r>
          </w:p>
        </w:tc>
        <w:tc>
          <w:tcPr>
            <w:tcW w:type="dxa" w:w="2146"/>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6%</w:t>
            </w:r>
          </w:p>
        </w:tc>
      </w:tr>
    </w:tbl>
    <w:p>
      <w:pPr>
        <w:spacing w:after="80"/>
      </w:pPr>
    </w:p>
    <w:p>
      <w:pPr>
        <w:pStyle w:val="ListParagraph"/>
        <w:numPr>
          <w:ilvl w:val="0"/>
          <w:numId w:val="2"/>
        </w:numPr>
        <w:spacing w:after="40" w:line="252"/>
      </w:pPr>
      <w:r>
        <w:rPr>
          <w:rFonts w:ascii="Arial" w:cs="Arial" w:eastAsia="Arial" w:hAnsi="Arial"/>
          <w:b/>
          <w:bCs/>
        </w:rPr>
        <w:t xml:space="preserve">Better access than expected.</w:t>
      </w:r>
      <w:r>
        <w:rPr>
          <w:rFonts w:ascii="Arial" w:cs="Arial" w:eastAsia="Arial" w:hAnsi="Arial"/>
        </w:rPr>
        <w:t xml:space="preserve"> With Y-axis = Rto, X-axis = Vehicle Class and fuel = ELECTRIC(BOV) + PURE EV, VAHAN returns a whole state in </w:t>
      </w:r>
      <w:r>
        <w:rPr>
          <w:rFonts w:ascii="Arial" w:cs="Arial" w:eastAsia="Arial" w:hAnsi="Arial"/>
          <w:b/>
          <w:bCs/>
        </w:rPr>
        <w:t xml:space="preserve">one query per financial year</w:t>
      </w:r>
      <w:r>
        <w:rPr>
          <w:rFonts w:ascii="Arial" w:cs="Arial" w:eastAsia="Arial" w:hAnsi="Arial"/>
        </w:rPr>
        <w:t xml:space="preserve">. Checks pass: segment sums equal VAHAN totals, and Karnataka FY 2024-25 (174,003) matches the 1.73 lakh reported.</w:t>
      </w:r>
    </w:p>
    <w:p>
      <w:pPr>
        <w:pStyle w:val="ListParagraph"/>
        <w:numPr>
          <w:ilvl w:val="0"/>
          <w:numId w:val="2"/>
        </w:numPr>
        <w:spacing w:after="40" w:line="252"/>
      </w:pPr>
      <w:r>
        <w:rPr>
          <w:rFonts w:ascii="Arial" w:cs="Arial" w:eastAsia="Arial" w:hAnsi="Arial"/>
          <w:b/>
          <w:bCs/>
        </w:rPr>
        <w:t xml:space="preserve">Synthetic and assumed data</w:t>
      </w:r>
      <w:r>
        <w:rPr>
          <w:rFonts w:ascii="Arial" w:cs="Arial" w:eastAsia="Arial" w:hAnsi="Arial"/>
        </w:rPr>
        <w:t xml:space="preserve"> is limited to cell-level EV allocation, swap-station capacity, and planning parameters with no Indian data. Every such value carries an is_synthetic or is_assumed flag (Appendix A2) and is stress-tested in scenarios.</w:t>
      </w:r>
    </w:p>
    <w:p>
      <w:pPr>
        <w:pStyle w:val="Heading1"/>
        <w:keepNext/>
        <w:spacing w:after="100" w:before="200"/>
      </w:pPr>
      <w:r>
        <w:t xml:space="preserve">5. Approach overview</w:t>
      </w:r>
    </w:p>
    <w:p>
      <w:pPr>
        <w:keepNext/>
        <w:spacing w:after="40"/>
        <w:jc w:val="center"/>
      </w:pPr>
      <w:r>
        <w:drawing>
          <wp:inline distT="0" distB="0" distL="0" distR="0">
            <wp:extent cx="5943600" cy="2847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847975"/>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3.</w:t>
      </w:r>
      <w:r>
        <w:rPr>
          <w:rFonts w:ascii="Arial" w:cs="Arial" w:eastAsia="Arial" w:hAnsi="Arial"/>
          <w:sz w:val="17"/>
          <w:szCs w:val="17"/>
        </w:rPr>
        <w:t xml:space="preserve"> End-to-end pipeline: 10 stages from public sources to planning outputs.</w:t>
      </w:r>
    </w:p>
    <w:p>
      <w:pPr>
        <w:spacing w:after="120"/>
        <w:jc w:val="center"/>
      </w:pPr>
      <w:r>
        <w:rPr>
          <w:rFonts w:ascii="Arial" w:cs="Arial" w:eastAsia="Arial" w:hAnsi="Arial"/>
          <w:i/>
          <w:iCs/>
          <w:color w:val="555555"/>
          <w:sz w:val="15"/>
          <w:szCs w:val="15"/>
        </w:rPr>
        <w:t xml:space="preserve">Source: Team design (Phase 4).</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780"/>
        <w:gridCol w:w="2926"/>
        <w:gridCol w:w="6046"/>
      </w:tblGrid>
      <w:tr>
        <w:trPr>
          <w:cantSplit/>
          <w:tblHeader/>
        </w:trPr>
        <w:tc>
          <w:tcPr>
            <w:tcW w:type="dxa" w:w="780"/>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t>
            </w:r>
          </w:p>
        </w:tc>
        <w:tc>
          <w:tcPr>
            <w:tcW w:type="dxa" w:w="292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Stage</w:t>
            </w:r>
          </w:p>
        </w:tc>
        <w:tc>
          <w:tcPr>
            <w:tcW w:type="dxa" w:w="604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Status</w:t>
            </w:r>
          </w:p>
        </w:tc>
      </w:tr>
      <w:tr>
        <w:trPr>
          <w:cantSplit/>
        </w:trPr>
        <w:tc>
          <w:tcPr>
            <w:tcW w:type="dxa" w:w="780"/>
            <w:tcMar>
              <w:top w:type="dxa" w:w="50"/>
              <w:left w:type="dxa" w:w="80"/>
              <w:bottom w:type="dxa" w:w="50"/>
              <w:right w:type="dxa" w:w="80"/>
            </w:tcMar>
            <w:vAlign w:val="center"/>
          </w:tcPr>
          <w:p>
            <w:pPr>
              <w:spacing w:after="0" w:line="240"/>
            </w:pPr>
            <w:r>
              <w:rPr>
                <w:rFonts w:ascii="Arial" w:cs="Arial" w:eastAsia="Arial" w:hAnsi="Arial"/>
                <w:sz w:val="16"/>
                <w:szCs w:val="16"/>
              </w:rPr>
              <w:t xml:space="preserve">1-4</w:t>
            </w:r>
          </w:p>
        </w:tc>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Ingest, clean/dedupe, spatial join, features</w:t>
            </w:r>
          </w:p>
        </w:tc>
        <w:tc>
          <w:tcPr>
            <w:tcW w:type="dxa" w:w="604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for Odisha + Karnataka (prototype notebook, real data)</w:t>
            </w:r>
          </w:p>
        </w:tc>
      </w:tr>
      <w:tr>
        <w:trPr>
          <w:cantSplit/>
        </w:trPr>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5</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Charging Gap Index</w:t>
            </w:r>
          </w:p>
        </w:tc>
        <w:tc>
          <w:tcPr>
            <w:tcW w:type="dxa" w:w="6046"/>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(district) · Round 2: H3 cells</w:t>
            </w:r>
          </w:p>
        </w:tc>
      </w:tr>
      <w:tr>
        <w:trPr>
          <w:cantSplit/>
        </w:trPr>
        <w:tc>
          <w:tcPr>
            <w:tcW w:type="dxa" w:w="780"/>
            <w:tcMar>
              <w:top w:type="dxa" w:w="50"/>
              <w:left w:type="dxa" w:w="80"/>
              <w:bottom w:type="dxa" w:w="50"/>
              <w:right w:type="dxa" w:w="80"/>
            </w:tcMar>
            <w:vAlign w:val="center"/>
          </w:tcPr>
          <w:p>
            <w:pPr>
              <w:spacing w:after="0" w:line="240"/>
            </w:pPr>
            <w:r>
              <w:rPr>
                <w:rFonts w:ascii="Arial" w:cs="Arial" w:eastAsia="Arial" w:hAnsi="Arial"/>
                <w:sz w:val="16"/>
                <w:szCs w:val="16"/>
              </w:rPr>
              <w:t xml:space="preserve">6-7</w:t>
            </w:r>
          </w:p>
        </w:tc>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Forecast; charger need</w:t>
            </w:r>
          </w:p>
        </w:tc>
        <w:tc>
          <w:tcPr>
            <w:tcW w:type="dxa" w:w="604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(state → district, 3 scenarios, backtest) · Round 2: corridor rule for all NHs</w:t>
            </w:r>
          </w:p>
        </w:tc>
      </w:tr>
      <w:tr>
        <w:trPr>
          <w:cantSplit/>
        </w:trPr>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8</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MCLP siting</w:t>
            </w:r>
          </w:p>
        </w:tc>
        <w:tc>
          <w:tcPr>
            <w:tcW w:type="dxa" w:w="604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Round 2</w:t>
            </w:r>
          </w:p>
        </w:tc>
      </w:tr>
      <w:tr>
        <w:trPr>
          <w:cantSplit/>
        </w:trPr>
        <w:tc>
          <w:tcPr>
            <w:tcW w:type="dxa" w:w="780"/>
            <w:tcMar>
              <w:top w:type="dxa" w:w="50"/>
              <w:left w:type="dxa" w:w="80"/>
              <w:bottom w:type="dxa" w:w="50"/>
              <w:right w:type="dxa" w:w="80"/>
            </w:tcMar>
            <w:vAlign w:val="center"/>
          </w:tcPr>
          <w:p>
            <w:pPr>
              <w:spacing w:after="0" w:line="240"/>
            </w:pPr>
            <w:r>
              <w:rPr>
                <w:rFonts w:ascii="Arial" w:cs="Arial" w:eastAsia="Arial" w:hAnsi="Arial"/>
                <w:sz w:val="16"/>
                <w:szCs w:val="16"/>
              </w:rPr>
              <w:t xml:space="preserve">9</w:t>
            </w:r>
          </w:p>
        </w:tc>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Validation</w:t>
            </w:r>
          </w:p>
        </w:tc>
        <w:tc>
          <w:tcPr>
            <w:tcW w:type="dxa" w:w="604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Partly done</w:t>
            </w:r>
            <w:r>
              <w:rPr>
                <w:rFonts w:ascii="Arial" w:cs="Arial" w:eastAsia="Arial" w:hAnsi="Arial"/>
                <w:sz w:val="16"/>
                <w:szCs w:val="16"/>
              </w:rPr>
              <w:t xml:space="preserve"> (backtest, norms, sensitivity) · Round 2: siting hold-out, PM E-DRIVE check</w:t>
            </w:r>
          </w:p>
        </w:tc>
      </w:tr>
      <w:tr>
        <w:trPr>
          <w:cantSplit/>
        </w:trPr>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10</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API + dashboard</w:t>
            </w:r>
          </w:p>
        </w:tc>
        <w:tc>
          <w:tcPr>
            <w:tcW w:type="dxa" w:w="604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Round 2</w:t>
            </w:r>
          </w:p>
        </w:tc>
      </w:tr>
    </w:tbl>
    <w:p>
      <w:pPr>
        <w:spacing w:after="80"/>
      </w:pPr>
    </w:p>
    <w:p>
      <w:pPr>
        <w:pStyle w:val="Heading1"/>
        <w:keepNext/>
        <w:spacing w:after="100" w:before="200"/>
      </w:pPr>
      <w:r>
        <w:t xml:space="preserve">6. Data integration</w:t>
      </w:r>
    </w:p>
    <w:p>
      <w:pPr>
        <w:pStyle w:val="ListParagraph"/>
        <w:numPr>
          <w:ilvl w:val="0"/>
          <w:numId w:val="2"/>
        </w:numPr>
        <w:spacing w:after="40" w:line="252"/>
      </w:pPr>
      <w:r>
        <w:rPr>
          <w:rFonts w:ascii="Arial" w:cs="Arial" w:eastAsia="Arial" w:hAnsi="Arial"/>
          <w:b/>
          <w:bCs/>
        </w:rPr>
        <w:t xml:space="preserve">Demand mapping:</w:t>
      </w:r>
      <w:r>
        <w:rPr>
          <w:rFonts w:ascii="Arial" w:cs="Arial" w:eastAsia="Arial" w:hAnsi="Arial"/>
        </w:rPr>
        <w:t xml:space="preserve"> EV[d,s,t] = Σ_r w[r,d] · REG[r,s,t]. In Odisha all 38 offices with EV records map one-to-one to a district (w = 1); for example, OD-35 Talcher maps to Angul. Offices covering several districts are split by population share and flagged. State-level offices are allocated by each district's share of EVs.</w:t>
      </w:r>
    </w:p>
    <w:p>
      <w:pPr>
        <w:pStyle w:val="ListParagraph"/>
        <w:numPr>
          <w:ilvl w:val="0"/>
          <w:numId w:val="2"/>
        </w:numPr>
        <w:spacing w:after="40" w:line="252"/>
      </w:pPr>
      <w:r>
        <w:rPr>
          <w:rFonts w:ascii="Arial" w:cs="Arial" w:eastAsia="Arial" w:hAnsi="Arial"/>
          <w:b/>
          <w:bCs/>
        </w:rPr>
        <w:t xml:space="preserve">Stock with attrition:</w:t>
      </w:r>
      <w:r>
        <w:rPr>
          <w:rFonts w:ascii="Arial" w:cs="Arial" w:eastAsia="Arial" w:hAnsi="Arial"/>
        </w:rPr>
        <w:t xml:space="preserve"> STOCK[d,s,T] = Σ_t EV[d,s,t] · (1 − a_s)^(T−t). Annual attrition a: 2W 2%, e-auto 2%, e-rickshaw 10%, 4W 0%.</w:t>
      </w:r>
    </w:p>
    <w:p>
      <w:pPr>
        <w:pStyle w:val="ListParagraph"/>
        <w:numPr>
          <w:ilvl w:val="0"/>
          <w:numId w:val="2"/>
        </w:numPr>
        <w:spacing w:after="40" w:line="252"/>
      </w:pPr>
      <w:r>
        <w:rPr>
          <w:rFonts w:ascii="Arial" w:cs="Arial" w:eastAsia="Arial" w:hAnsi="Arial"/>
          <w:b/>
          <w:bCs/>
        </w:rPr>
        <w:t xml:space="preserve">Charger merge:</w:t>
      </w:r>
      <w:r>
        <w:rPr>
          <w:rFonts w:ascii="Arial" w:cs="Arial" w:eastAsia="Arial" w:hAnsi="Arial"/>
        </w:rPr>
        <w:t xml:space="preserve"> OCM + OSM (+ operator data in Round 2) go into one schema. </w:t>
      </w:r>
      <w:r>
        <w:rPr>
          <w:rFonts w:ascii="Arial" w:cs="Arial" w:eastAsia="Arial" w:hAnsi="Arial"/>
          <w:b/>
          <w:bCs/>
        </w:rPr>
        <w:t xml:space="preserve">De-duplication</w:t>
      </w:r>
      <w:r>
        <w:rPr>
          <w:rFonts w:ascii="Arial" w:cs="Arial" w:eastAsia="Arial" w:hAnsi="Arial"/>
        </w:rPr>
        <w:t xml:space="preserve"> (union-find) merges records that are ≤50 m apart with the same operator, or ≤15 m apart with the same kW class. The most complete record is kept and every source ID is stored.</w:t>
      </w:r>
    </w:p>
    <w:p>
      <w:pPr>
        <w:pStyle w:val="ListParagraph"/>
        <w:numPr>
          <w:ilvl w:val="0"/>
          <w:numId w:val="2"/>
        </w:numPr>
        <w:spacing w:after="40" w:line="252"/>
      </w:pPr>
      <w:r>
        <w:rPr>
          <w:rFonts w:ascii="Arial" w:cs="Arial" w:eastAsia="Arial" w:hAnsi="Arial"/>
          <w:b/>
          <w:bCs/>
        </w:rPr>
        <w:t xml:space="preserve">Classification and filters:</w:t>
      </w:r>
      <w:r>
        <w:rPr>
          <w:rFonts w:ascii="Arial" w:cs="Arial" w:eastAsia="Arial" w:hAnsi="Arial"/>
        </w:rPr>
        <w:t xml:space="preserve"> light if max kW &lt;30, DC if ≥30. If kW is missing, DC is assumed for a DC connector or a DC-heavy operator (flagged; 36 Odisha records). Private/captive and non-operational records are dropped.</w:t>
      </w:r>
    </w:p>
    <w:p>
      <w:pPr>
        <w:pStyle w:val="ListParagraph"/>
        <w:numPr>
          <w:ilvl w:val="0"/>
          <w:numId w:val="2"/>
        </w:numPr>
        <w:spacing w:after="40" w:line="252"/>
      </w:pPr>
      <w:r>
        <w:rPr>
          <w:rFonts w:ascii="Arial" w:cs="Arial" w:eastAsia="Arial" w:hAnsi="Arial"/>
          <w:b/>
          <w:bCs/>
        </w:rPr>
        <w:t xml:space="preserve">Cell-level demand (Round 2):</w:t>
      </w:r>
      <w:r>
        <w:rPr>
          <w:rFonts w:ascii="Arial" w:cs="Arial" w:eastAsia="Arial" w:hAnsi="Arial"/>
        </w:rPr>
        <w:t xml:space="preserve"> EV[h] = EV[d] · pop_h · NTL_h^0.5 / Σ(pop · NTL^0.5), using WorldPop population × VIIRS night-lights; flagged as synthetic.</w:t>
      </w:r>
    </w:p>
    <w:p>
      <w:pPr>
        <w:pStyle w:val="ListParagraph"/>
        <w:numPr>
          <w:ilvl w:val="0"/>
          <w:numId w:val="2"/>
        </w:numPr>
        <w:spacing w:after="40" w:line="252"/>
      </w:pPr>
      <w:r>
        <w:rPr>
          <w:rFonts w:ascii="Arial" w:cs="Arial" w:eastAsia="Arial" w:hAnsi="Arial"/>
          <w:b/>
          <w:bCs/>
        </w:rPr>
        <w:t xml:space="preserve">Versioning:</w:t>
      </w:r>
      <w:r>
        <w:rPr>
          <w:rFonts w:ascii="Arial" w:cs="Arial" w:eastAsia="Arial" w:hAnsi="Arial"/>
        </w:rPr>
        <w:t xml:space="preserve"> every run carries a snapshot ID. Raw files are immutable; processed tables are append-only; the dashboard shows the data date. Refresh: VAHAN monthly, OCM/OSM weekly, MHI per Parliament session.</w:t>
      </w:r>
    </w:p>
    <w:p>
      <w:pPr>
        <w:pStyle w:val="Heading1"/>
        <w:keepNext/>
        <w:spacing w:after="100" w:before="200"/>
      </w:pPr>
      <w:r>
        <w:t xml:space="preserve">7. Gap assessment: Charging Gap Index</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755"/>
        <w:gridCol w:w="5071"/>
        <w:gridCol w:w="975"/>
        <w:gridCol w:w="1951"/>
      </w:tblGrid>
      <w:tr>
        <w:trPr>
          <w:cantSplit/>
          <w:tblHeader/>
        </w:trPr>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Component</w:t>
            </w:r>
          </w:p>
        </w:tc>
        <w:tc>
          <w:tcPr>
            <w:tcW w:type="dxa" w:w="507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Definition</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Weight</w:t>
            </w:r>
          </w:p>
        </w:tc>
        <w:tc>
          <w:tcPr>
            <w:tcW w:type="dxa" w:w="195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Rationale</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Load</w:t>
            </w:r>
          </w:p>
        </w:tc>
        <w:tc>
          <w:tcPr>
            <w:tcW w:type="dxa" w:w="5071"/>
            <w:tcMar>
              <w:top w:type="dxa" w:w="50"/>
              <w:left w:type="dxa" w:w="80"/>
              <w:bottom w:type="dxa" w:w="50"/>
              <w:right w:type="dxa" w:w="80"/>
            </w:tcMar>
            <w:vAlign w:val="center"/>
          </w:tcPr>
          <w:p>
            <w:pPr>
              <w:spacing w:after="0" w:line="240"/>
            </w:pPr>
            <w:r>
              <w:rPr>
                <w:rFonts w:ascii="Arial" w:cs="Arial" w:eastAsia="Arial" w:hAnsi="Arial"/>
                <w:sz w:val="16"/>
                <w:szCs w:val="16"/>
              </w:rPr>
              <w:t xml:space="preserve">ln(1 + EV stock / (observed charge points + 1))</w:t>
            </w:r>
          </w:p>
        </w:tc>
        <w:tc>
          <w:tcPr>
            <w:tcW w:type="dxa" w:w="975"/>
            <w:tcMar>
              <w:top w:type="dxa" w:w="50"/>
              <w:left w:type="dxa" w:w="80"/>
              <w:bottom w:type="dxa" w:w="50"/>
              <w:right w:type="dxa" w:w="80"/>
            </w:tcMar>
            <w:vAlign w:val="center"/>
          </w:tcPr>
          <w:p>
            <w:pPr>
              <w:spacing w:after="0" w:line="240"/>
            </w:pPr>
            <w:r>
              <w:rPr>
                <w:rFonts w:ascii="Arial" w:cs="Arial" w:eastAsia="Arial" w:hAnsi="Arial"/>
                <w:sz w:val="16"/>
                <w:szCs w:val="16"/>
              </w:rPr>
              <w:t xml:space="preserve">40%</w:t>
            </w:r>
          </w:p>
        </w:tc>
        <w:tc>
          <w:tcPr>
            <w:tcW w:type="dxa" w:w="1951"/>
            <w:tcMar>
              <w:top w:type="dxa" w:w="50"/>
              <w:left w:type="dxa" w:w="80"/>
              <w:bottom w:type="dxa" w:w="50"/>
              <w:right w:type="dxa" w:w="80"/>
            </w:tcMar>
            <w:vAlign w:val="center"/>
          </w:tcPr>
          <w:p>
            <w:pPr>
              <w:spacing w:after="0" w:line="240"/>
            </w:pPr>
            <w:r>
              <w:rPr>
                <w:rFonts w:ascii="Arial" w:cs="Arial" w:eastAsia="Arial" w:hAnsi="Arial"/>
                <w:sz w:val="16"/>
                <w:szCs w:val="16"/>
              </w:rPr>
              <w:t xml:space="preserve">Pressure on today's network</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Access</w:t>
            </w:r>
          </w:p>
        </w:tc>
        <w:tc>
          <w:tcPr>
            <w:tcW w:type="dxa" w:w="507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 of population &gt; 5 km from any public charger (1 km for urban cells)</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35%</w:t>
            </w:r>
          </w:p>
        </w:tc>
        <w:tc>
          <w:tcPr>
            <w:tcW w:type="dxa" w:w="195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Equity: who cannot reach a charger</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Momentum</w:t>
            </w:r>
          </w:p>
        </w:tc>
        <w:tc>
          <w:tcPr>
            <w:tcW w:type="dxa" w:w="5071"/>
            <w:tcMar>
              <w:top w:type="dxa" w:w="50"/>
              <w:left w:type="dxa" w:w="80"/>
              <w:bottom w:type="dxa" w:w="50"/>
              <w:right w:type="dxa" w:w="80"/>
            </w:tcMar>
            <w:vAlign w:val="center"/>
          </w:tcPr>
          <w:p>
            <w:pPr>
              <w:spacing w:after="0" w:line="240"/>
            </w:pPr>
            <w:r>
              <w:rPr>
                <w:rFonts w:ascii="Arial" w:cs="Arial" w:eastAsia="Arial" w:hAnsi="Arial"/>
                <w:sz w:val="16"/>
                <w:szCs w:val="16"/>
              </w:rPr>
              <w:t xml:space="preserve">FY 2023-24 → FY 2025-26 registration CAGR (capped at 95th percentile)</w:t>
            </w:r>
          </w:p>
        </w:tc>
        <w:tc>
          <w:tcPr>
            <w:tcW w:type="dxa" w:w="975"/>
            <w:tcMar>
              <w:top w:type="dxa" w:w="50"/>
              <w:left w:type="dxa" w:w="80"/>
              <w:bottom w:type="dxa" w:w="50"/>
              <w:right w:type="dxa" w:w="80"/>
            </w:tcMar>
            <w:vAlign w:val="center"/>
          </w:tcPr>
          <w:p>
            <w:pPr>
              <w:spacing w:after="0" w:line="240"/>
            </w:pPr>
            <w:r>
              <w:rPr>
                <w:rFonts w:ascii="Arial" w:cs="Arial" w:eastAsia="Arial" w:hAnsi="Arial"/>
                <w:sz w:val="16"/>
                <w:szCs w:val="16"/>
              </w:rPr>
              <w:t xml:space="preserve">25%</w:t>
            </w:r>
          </w:p>
        </w:tc>
        <w:tc>
          <w:tcPr>
            <w:tcW w:type="dxa" w:w="1951"/>
            <w:tcMar>
              <w:top w:type="dxa" w:w="50"/>
              <w:left w:type="dxa" w:w="80"/>
              <w:bottom w:type="dxa" w:w="50"/>
              <w:right w:type="dxa" w:w="80"/>
            </w:tcMar>
            <w:vAlign w:val="center"/>
          </w:tcPr>
          <w:p>
            <w:pPr>
              <w:spacing w:after="0" w:line="240"/>
            </w:pPr>
            <w:r>
              <w:rPr>
                <w:rFonts w:ascii="Arial" w:cs="Arial" w:eastAsia="Arial" w:hAnsi="Arial"/>
                <w:sz w:val="16"/>
                <w:szCs w:val="16"/>
              </w:rPr>
              <w:t xml:space="preserve">Where demand is accelerating</w:t>
            </w:r>
          </w:p>
        </w:tc>
      </w:tr>
    </w:tbl>
    <w:p>
      <w:pPr>
        <w:spacing w:after="80"/>
      </w:pPr>
    </w:p>
    <w:p>
      <w:pPr>
        <w:spacing w:after="80" w:before="0" w:line="264"/>
      </w:pPr>
      <w:r>
        <w:rPr>
          <w:rFonts w:ascii="Arial" w:cs="Arial" w:eastAsia="Arial" w:hAnsi="Arial"/>
        </w:rPr>
        <w:t xml:space="preserve">Gap Index = Σ w_k · 100 · (x_k − min) / (max − min), on a 0-100 scale where higher means more underserved. </w:t>
      </w:r>
      <w:r>
        <w:rPr>
          <w:rFonts w:ascii="Arial" w:cs="Arial" w:eastAsia="Arial" w:hAnsi="Arial"/>
          <w:b/>
          <w:bCs/>
        </w:rPr>
        <w:t xml:space="preserve">Done</w:t>
      </w:r>
      <w:r>
        <w:rPr>
          <w:rFonts w:ascii="Arial" w:cs="Arial" w:eastAsia="Arial" w:hAnsi="Arial"/>
        </w:rPr>
        <w:t xml:space="preserve"> for 30 Odisha districts (Figure 4).</w:t>
      </w:r>
    </w:p>
    <w:p>
      <w:pPr>
        <w:keepNext/>
        <w:spacing w:after="40"/>
        <w:jc w:val="center"/>
      </w:pPr>
      <w:r>
        <w:drawing>
          <wp:inline distT="0" distB="0" distL="0" distR="0">
            <wp:extent cx="4857750" cy="35528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3552825"/>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4.</w:t>
      </w:r>
      <w:r>
        <w:rPr>
          <w:rFonts w:ascii="Arial" w:cs="Arial" w:eastAsia="Arial" w:hAnsi="Arial"/>
          <w:sz w:val="17"/>
          <w:szCs w:val="17"/>
        </w:rPr>
        <w:t xml:space="preserve"> Draft Charging Gap Index by district, Odisha, with public chargers and NH-16.</w:t>
      </w:r>
    </w:p>
    <w:p>
      <w:pPr>
        <w:spacing w:after="120"/>
        <w:jc w:val="center"/>
      </w:pPr>
      <w:r>
        <w:rPr>
          <w:rFonts w:ascii="Arial" w:cs="Arial" w:eastAsia="Arial" w:hAnsi="Arial"/>
          <w:i/>
          <w:iCs/>
          <w:color w:val="555555"/>
          <w:sz w:val="15"/>
          <w:szCs w:val="15"/>
        </w:rPr>
        <w:t xml:space="preserve">Source: VAHAN 4 [1]; OpenChargeMap export + OSM, de-duplicated [2][3]; OSM districts; WorldPop 2020 [4]. Team analysis.</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683"/>
        <w:gridCol w:w="1658"/>
        <w:gridCol w:w="878"/>
        <w:gridCol w:w="1073"/>
        <w:gridCol w:w="975"/>
        <w:gridCol w:w="975"/>
        <w:gridCol w:w="1463"/>
        <w:gridCol w:w="1073"/>
        <w:gridCol w:w="974"/>
      </w:tblGrid>
      <w:tr>
        <w:trPr>
          <w:cantSplit/>
          <w:tblHeader/>
        </w:trPr>
        <w:tc>
          <w:tcPr>
            <w:tcW w:type="dxa" w:w="68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Rank</w:t>
            </w:r>
          </w:p>
        </w:tc>
        <w:tc>
          <w:tcPr>
            <w:tcW w:type="dxa" w:w="165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District</w:t>
            </w:r>
          </w:p>
        </w:tc>
        <w:tc>
          <w:tcPr>
            <w:tcW w:type="dxa" w:w="87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Index</w:t>
            </w:r>
          </w:p>
        </w:tc>
        <w:tc>
          <w:tcPr>
            <w:tcW w:type="dxa" w:w="107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EVs FY26</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Mapped points</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EVs / point</w:t>
            </w:r>
          </w:p>
        </w:tc>
        <w:tc>
          <w:tcPr>
            <w:tcW w:type="dxa" w:w="146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Pop. &gt; 5 km</w:t>
            </w:r>
          </w:p>
        </w:tc>
        <w:tc>
          <w:tcPr>
            <w:tcW w:type="dxa" w:w="107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CAGR FY24-26</w:t>
            </w:r>
          </w:p>
        </w:tc>
        <w:tc>
          <w:tcPr>
            <w:tcW w:type="dxa" w:w="974"/>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FY30 gap (Base)</w:t>
            </w:r>
          </w:p>
        </w:tc>
      </w:tr>
      <w:tr>
        <w:trPr>
          <w:cantSplit/>
        </w:trPr>
        <w:tc>
          <w:tcPr>
            <w:tcW w:type="dxa" w:w="683"/>
            <w:tcMar>
              <w:top w:type="dxa" w:w="50"/>
              <w:left w:type="dxa" w:w="80"/>
              <w:bottom w:type="dxa" w:w="50"/>
              <w:right w:type="dxa" w:w="80"/>
            </w:tcMar>
            <w:vAlign w:val="center"/>
          </w:tcPr>
          <w:p>
            <w:pPr>
              <w:spacing w:after="0" w:line="240"/>
            </w:pPr>
            <w:r>
              <w:rPr>
                <w:rFonts w:ascii="Arial" w:cs="Arial" w:eastAsia="Arial" w:hAnsi="Arial"/>
                <w:sz w:val="15"/>
                <w:szCs w:val="15"/>
              </w:rPr>
              <w:t xml:space="preserve">1</w:t>
            </w:r>
          </w:p>
        </w:tc>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Balangir</w:t>
            </w:r>
          </w:p>
        </w:tc>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82.5</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6,004</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1</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6,004</w:t>
            </w:r>
          </w:p>
        </w:tc>
        <w:tc>
          <w:tcPr>
            <w:tcW w:type="dxa" w:w="1463"/>
            <w:tcMar>
              <w:top w:type="dxa" w:w="50"/>
              <w:left w:type="dxa" w:w="80"/>
              <w:bottom w:type="dxa" w:w="50"/>
              <w:right w:type="dxa" w:w="80"/>
            </w:tcMar>
            <w:vAlign w:val="center"/>
          </w:tcPr>
          <w:p>
            <w:pPr>
              <w:spacing w:after="0" w:line="240"/>
            </w:pPr>
            <w:r>
              <w:rPr>
                <w:rFonts w:ascii="Arial" w:cs="Arial" w:eastAsia="Arial" w:hAnsi="Arial"/>
                <w:sz w:val="15"/>
                <w:szCs w:val="15"/>
              </w:rPr>
              <w:t xml:space="preserve">98%</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18%</w:t>
            </w:r>
          </w:p>
        </w:tc>
        <w:tc>
          <w:tcPr>
            <w:tcW w:type="dxa" w:w="974"/>
            <w:tcMar>
              <w:top w:type="dxa" w:w="50"/>
              <w:left w:type="dxa" w:w="80"/>
              <w:bottom w:type="dxa" w:w="50"/>
              <w:right w:type="dxa" w:w="80"/>
            </w:tcMar>
            <w:vAlign w:val="center"/>
          </w:tcPr>
          <w:p>
            <w:pPr>
              <w:spacing w:after="0" w:line="240"/>
            </w:pPr>
            <w:r>
              <w:rPr>
                <w:rFonts w:ascii="Arial" w:cs="Arial" w:eastAsia="Arial" w:hAnsi="Arial"/>
                <w:sz w:val="15"/>
                <w:szCs w:val="15"/>
              </w:rPr>
              <w:t xml:space="preserve">50</w:t>
            </w:r>
          </w:p>
        </w:tc>
      </w:tr>
      <w:tr>
        <w:trPr>
          <w:cantSplit/>
        </w:trPr>
        <w:tc>
          <w:tcPr>
            <w:tcW w:type="dxa" w:w="68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w:t>
            </w:r>
          </w:p>
        </w:tc>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Dhenkanal</w:t>
            </w:r>
          </w:p>
        </w:tc>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80.6</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3,549</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1,774</w:t>
            </w:r>
          </w:p>
        </w:tc>
        <w:tc>
          <w:tcPr>
            <w:tcW w:type="dxa" w:w="146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89%</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90%</w:t>
            </w:r>
          </w:p>
        </w:tc>
        <w:tc>
          <w:tcPr>
            <w:tcW w:type="dxa" w:w="974"/>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26</w:t>
            </w:r>
          </w:p>
        </w:tc>
      </w:tr>
      <w:tr>
        <w:trPr>
          <w:cantSplit/>
        </w:trPr>
        <w:tc>
          <w:tcPr>
            <w:tcW w:type="dxa" w:w="683"/>
            <w:tcMar>
              <w:top w:type="dxa" w:w="50"/>
              <w:left w:type="dxa" w:w="80"/>
              <w:bottom w:type="dxa" w:w="50"/>
              <w:right w:type="dxa" w:w="80"/>
            </w:tcMar>
            <w:vAlign w:val="center"/>
          </w:tcPr>
          <w:p>
            <w:pPr>
              <w:spacing w:after="0" w:line="240"/>
            </w:pPr>
            <w:r>
              <w:rPr>
                <w:rFonts w:ascii="Arial" w:cs="Arial" w:eastAsia="Arial" w:hAnsi="Arial"/>
                <w:sz w:val="15"/>
                <w:szCs w:val="15"/>
              </w:rPr>
              <w:t xml:space="preserve">3</w:t>
            </w:r>
          </w:p>
        </w:tc>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Kendrapara</w:t>
            </w:r>
          </w:p>
        </w:tc>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79.2</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3,547</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1</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3,547</w:t>
            </w:r>
          </w:p>
        </w:tc>
        <w:tc>
          <w:tcPr>
            <w:tcW w:type="dxa" w:w="1463"/>
            <w:tcMar>
              <w:top w:type="dxa" w:w="50"/>
              <w:left w:type="dxa" w:w="80"/>
              <w:bottom w:type="dxa" w:w="50"/>
              <w:right w:type="dxa" w:w="80"/>
            </w:tcMar>
            <w:vAlign w:val="center"/>
          </w:tcPr>
          <w:p>
            <w:pPr>
              <w:spacing w:after="0" w:line="240"/>
            </w:pPr>
            <w:r>
              <w:rPr>
                <w:rFonts w:ascii="Arial" w:cs="Arial" w:eastAsia="Arial" w:hAnsi="Arial"/>
                <w:sz w:val="15"/>
                <w:szCs w:val="15"/>
              </w:rPr>
              <w:t xml:space="preserve">97%</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38%</w:t>
            </w:r>
          </w:p>
        </w:tc>
        <w:tc>
          <w:tcPr>
            <w:tcW w:type="dxa" w:w="974"/>
            <w:tcMar>
              <w:top w:type="dxa" w:w="50"/>
              <w:left w:type="dxa" w:w="80"/>
              <w:bottom w:type="dxa" w:w="50"/>
              <w:right w:type="dxa" w:w="80"/>
            </w:tcMar>
            <w:vAlign w:val="center"/>
          </w:tcPr>
          <w:p>
            <w:pPr>
              <w:spacing w:after="0" w:line="240"/>
            </w:pPr>
            <w:r>
              <w:rPr>
                <w:rFonts w:ascii="Arial" w:cs="Arial" w:eastAsia="Arial" w:hAnsi="Arial"/>
                <w:sz w:val="15"/>
                <w:szCs w:val="15"/>
              </w:rPr>
              <w:t xml:space="preserve">81</w:t>
            </w:r>
          </w:p>
        </w:tc>
      </w:tr>
      <w:tr>
        <w:trPr>
          <w:cantSplit/>
        </w:trPr>
        <w:tc>
          <w:tcPr>
            <w:tcW w:type="dxa" w:w="68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4</w:t>
            </w:r>
          </w:p>
        </w:tc>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Mayurbhanj</w:t>
            </w:r>
          </w:p>
        </w:tc>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77.2</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11,417</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5</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2,283</w:t>
            </w:r>
          </w:p>
        </w:tc>
        <w:tc>
          <w:tcPr>
            <w:tcW w:type="dxa" w:w="146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92%</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40%</w:t>
            </w:r>
          </w:p>
        </w:tc>
        <w:tc>
          <w:tcPr>
            <w:tcW w:type="dxa" w:w="974"/>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114</w:t>
            </w:r>
          </w:p>
        </w:tc>
      </w:tr>
      <w:tr>
        <w:trPr>
          <w:cantSplit/>
        </w:trPr>
        <w:tc>
          <w:tcPr>
            <w:tcW w:type="dxa" w:w="683"/>
            <w:tcMar>
              <w:top w:type="dxa" w:w="50"/>
              <w:left w:type="dxa" w:w="80"/>
              <w:bottom w:type="dxa" w:w="50"/>
              <w:right w:type="dxa" w:w="80"/>
            </w:tcMar>
            <w:vAlign w:val="center"/>
          </w:tcPr>
          <w:p>
            <w:pPr>
              <w:spacing w:after="0" w:line="240"/>
            </w:pPr>
            <w:r>
              <w:rPr>
                <w:rFonts w:ascii="Arial" w:cs="Arial" w:eastAsia="Arial" w:hAnsi="Arial"/>
                <w:sz w:val="15"/>
                <w:szCs w:val="15"/>
              </w:rPr>
              <w:t xml:space="preserve">5</w:t>
            </w:r>
          </w:p>
        </w:tc>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Bhadrak</w:t>
            </w:r>
          </w:p>
        </w:tc>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74.7</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6,471</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6</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1,079</w:t>
            </w:r>
          </w:p>
        </w:tc>
        <w:tc>
          <w:tcPr>
            <w:tcW w:type="dxa" w:w="1463"/>
            <w:tcMar>
              <w:top w:type="dxa" w:w="50"/>
              <w:left w:type="dxa" w:w="80"/>
              <w:bottom w:type="dxa" w:w="50"/>
              <w:right w:type="dxa" w:w="80"/>
            </w:tcMar>
            <w:vAlign w:val="center"/>
          </w:tcPr>
          <w:p>
            <w:pPr>
              <w:spacing w:after="0" w:line="240"/>
            </w:pPr>
            <w:r>
              <w:rPr>
                <w:rFonts w:ascii="Arial" w:cs="Arial" w:eastAsia="Arial" w:hAnsi="Arial"/>
                <w:sz w:val="15"/>
                <w:szCs w:val="15"/>
              </w:rPr>
              <w:t xml:space="preserve">85%</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90%</w:t>
            </w:r>
          </w:p>
        </w:tc>
        <w:tc>
          <w:tcPr>
            <w:tcW w:type="dxa" w:w="974"/>
            <w:tcMar>
              <w:top w:type="dxa" w:w="50"/>
              <w:left w:type="dxa" w:w="80"/>
              <w:bottom w:type="dxa" w:w="50"/>
              <w:right w:type="dxa" w:w="80"/>
            </w:tcMar>
            <w:vAlign w:val="center"/>
          </w:tcPr>
          <w:p>
            <w:pPr>
              <w:spacing w:after="0" w:line="240"/>
            </w:pPr>
            <w:r>
              <w:rPr>
                <w:rFonts w:ascii="Arial" w:cs="Arial" w:eastAsia="Arial" w:hAnsi="Arial"/>
                <w:sz w:val="15"/>
                <w:szCs w:val="15"/>
              </w:rPr>
              <w:t xml:space="preserve">64</w:t>
            </w:r>
          </w:p>
        </w:tc>
      </w:tr>
      <w:tr>
        <w:trPr>
          <w:cantSplit/>
        </w:trPr>
        <w:tc>
          <w:tcPr>
            <w:tcW w:type="dxa" w:w="68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6</w:t>
            </w:r>
          </w:p>
        </w:tc>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Rayagada</w:t>
            </w:r>
          </w:p>
        </w:tc>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74.5</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1,672</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836</w:t>
            </w:r>
          </w:p>
        </w:tc>
        <w:tc>
          <w:tcPr>
            <w:tcW w:type="dxa" w:w="146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99%</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79%</w:t>
            </w:r>
          </w:p>
        </w:tc>
        <w:tc>
          <w:tcPr>
            <w:tcW w:type="dxa" w:w="974"/>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w:t>
            </w:r>
          </w:p>
        </w:tc>
      </w:tr>
      <w:tr>
        <w:trPr>
          <w:cantSplit/>
        </w:trPr>
        <w:tc>
          <w:tcPr>
            <w:tcW w:type="dxa" w:w="683"/>
            <w:tcMar>
              <w:top w:type="dxa" w:w="50"/>
              <w:left w:type="dxa" w:w="80"/>
              <w:bottom w:type="dxa" w:w="50"/>
              <w:right w:type="dxa" w:w="80"/>
            </w:tcMar>
            <w:vAlign w:val="center"/>
          </w:tcPr>
          <w:p>
            <w:pPr>
              <w:spacing w:after="0" w:line="240"/>
            </w:pPr>
            <w:r>
              <w:rPr>
                <w:rFonts w:ascii="Arial" w:cs="Arial" w:eastAsia="Arial" w:hAnsi="Arial"/>
                <w:sz w:val="15"/>
                <w:szCs w:val="15"/>
              </w:rPr>
              <w:t xml:space="preserve">7</w:t>
            </w:r>
          </w:p>
        </w:tc>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Angul</w:t>
            </w:r>
          </w:p>
        </w:tc>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74.3</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6,849</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7</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978</w:t>
            </w:r>
          </w:p>
        </w:tc>
        <w:tc>
          <w:tcPr>
            <w:tcW w:type="dxa" w:w="1463"/>
            <w:tcMar>
              <w:top w:type="dxa" w:w="50"/>
              <w:left w:type="dxa" w:w="80"/>
              <w:bottom w:type="dxa" w:w="50"/>
              <w:right w:type="dxa" w:w="80"/>
            </w:tcMar>
            <w:vAlign w:val="center"/>
          </w:tcPr>
          <w:p>
            <w:pPr>
              <w:spacing w:after="0" w:line="240"/>
            </w:pPr>
            <w:r>
              <w:rPr>
                <w:rFonts w:ascii="Arial" w:cs="Arial" w:eastAsia="Arial" w:hAnsi="Arial"/>
                <w:sz w:val="15"/>
                <w:szCs w:val="15"/>
              </w:rPr>
              <w:t xml:space="preserve">87%</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86%</w:t>
            </w:r>
          </w:p>
        </w:tc>
        <w:tc>
          <w:tcPr>
            <w:tcW w:type="dxa" w:w="974"/>
            <w:tcMar>
              <w:top w:type="dxa" w:w="50"/>
              <w:left w:type="dxa" w:w="80"/>
              <w:bottom w:type="dxa" w:w="50"/>
              <w:right w:type="dxa" w:w="80"/>
            </w:tcMar>
            <w:vAlign w:val="center"/>
          </w:tcPr>
          <w:p>
            <w:pPr>
              <w:spacing w:after="0" w:line="240"/>
            </w:pPr>
            <w:r>
              <w:rPr>
                <w:rFonts w:ascii="Arial" w:cs="Arial" w:eastAsia="Arial" w:hAnsi="Arial"/>
                <w:sz w:val="15"/>
                <w:szCs w:val="15"/>
              </w:rPr>
              <w:t xml:space="preserve">76</w:t>
            </w:r>
          </w:p>
        </w:tc>
      </w:tr>
      <w:tr>
        <w:trPr>
          <w:cantSplit/>
        </w:trPr>
        <w:tc>
          <w:tcPr>
            <w:tcW w:type="dxa" w:w="68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8</w:t>
            </w:r>
          </w:p>
        </w:tc>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Bargarh</w:t>
            </w:r>
          </w:p>
        </w:tc>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73.1</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5,654</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4</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1,413</w:t>
            </w:r>
          </w:p>
        </w:tc>
        <w:tc>
          <w:tcPr>
            <w:tcW w:type="dxa" w:w="146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95%</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43%</w:t>
            </w:r>
          </w:p>
        </w:tc>
        <w:tc>
          <w:tcPr>
            <w:tcW w:type="dxa" w:w="974"/>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50</w:t>
            </w:r>
          </w:p>
        </w:tc>
      </w:tr>
      <w:tr>
        <w:trPr>
          <w:cantSplit/>
        </w:trPr>
        <w:tc>
          <w:tcPr>
            <w:tcW w:type="dxa" w:w="683"/>
            <w:tcMar>
              <w:top w:type="dxa" w:w="50"/>
              <w:left w:type="dxa" w:w="80"/>
              <w:bottom w:type="dxa" w:w="50"/>
              <w:right w:type="dxa" w:w="80"/>
            </w:tcMar>
            <w:vAlign w:val="center"/>
          </w:tcPr>
          <w:p>
            <w:pPr>
              <w:spacing w:after="0" w:line="240"/>
            </w:pPr>
            <w:r>
              <w:rPr>
                <w:rFonts w:ascii="Arial" w:cs="Arial" w:eastAsia="Arial" w:hAnsi="Arial"/>
                <w:sz w:val="15"/>
                <w:szCs w:val="15"/>
              </w:rPr>
              <w:t xml:space="preserve">9</w:t>
            </w:r>
          </w:p>
        </w:tc>
        <w:tc>
          <w:tcPr>
            <w:tcW w:type="dxa" w:w="1658"/>
            <w:tcMar>
              <w:top w:type="dxa" w:w="50"/>
              <w:left w:type="dxa" w:w="80"/>
              <w:bottom w:type="dxa" w:w="50"/>
              <w:right w:type="dxa" w:w="80"/>
            </w:tcMar>
            <w:vAlign w:val="center"/>
          </w:tcPr>
          <w:p>
            <w:pPr>
              <w:spacing w:after="0" w:line="240"/>
            </w:pPr>
            <w:r>
              <w:rPr>
                <w:rFonts w:ascii="Arial" w:cs="Arial" w:eastAsia="Arial" w:hAnsi="Arial"/>
                <w:sz w:val="15"/>
                <w:szCs w:val="15"/>
              </w:rPr>
              <w:t xml:space="preserve">Nabarangapur</w:t>
            </w:r>
          </w:p>
        </w:tc>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72.5</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1,322</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2</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661</w:t>
            </w:r>
          </w:p>
        </w:tc>
        <w:tc>
          <w:tcPr>
            <w:tcW w:type="dxa" w:w="1463"/>
            <w:tcMar>
              <w:top w:type="dxa" w:w="50"/>
              <w:left w:type="dxa" w:w="80"/>
              <w:bottom w:type="dxa" w:w="50"/>
              <w:right w:type="dxa" w:w="80"/>
            </w:tcMar>
            <w:vAlign w:val="center"/>
          </w:tcPr>
          <w:p>
            <w:pPr>
              <w:spacing w:after="0" w:line="240"/>
            </w:pPr>
            <w:r>
              <w:rPr>
                <w:rFonts w:ascii="Arial" w:cs="Arial" w:eastAsia="Arial" w:hAnsi="Arial"/>
                <w:sz w:val="15"/>
                <w:szCs w:val="15"/>
              </w:rPr>
              <w:t xml:space="preserve">97%</w:t>
            </w:r>
          </w:p>
        </w:tc>
        <w:tc>
          <w:tcPr>
            <w:tcW w:type="dxa" w:w="1073"/>
            <w:tcMar>
              <w:top w:type="dxa" w:w="50"/>
              <w:left w:type="dxa" w:w="80"/>
              <w:bottom w:type="dxa" w:w="50"/>
              <w:right w:type="dxa" w:w="80"/>
            </w:tcMar>
            <w:vAlign w:val="center"/>
          </w:tcPr>
          <w:p>
            <w:pPr>
              <w:spacing w:after="0" w:line="240"/>
            </w:pPr>
            <w:r>
              <w:rPr>
                <w:rFonts w:ascii="Arial" w:cs="Arial" w:eastAsia="Arial" w:hAnsi="Arial"/>
                <w:sz w:val="15"/>
                <w:szCs w:val="15"/>
              </w:rPr>
              <w:t xml:space="preserve">90%</w:t>
            </w:r>
          </w:p>
        </w:tc>
        <w:tc>
          <w:tcPr>
            <w:tcW w:type="dxa" w:w="974"/>
            <w:tcMar>
              <w:top w:type="dxa" w:w="50"/>
              <w:left w:type="dxa" w:w="80"/>
              <w:bottom w:type="dxa" w:w="50"/>
              <w:right w:type="dxa" w:w="80"/>
            </w:tcMar>
            <w:vAlign w:val="center"/>
          </w:tcPr>
          <w:p>
            <w:pPr>
              <w:spacing w:after="0" w:line="240"/>
            </w:pPr>
            <w:r>
              <w:rPr>
                <w:rFonts w:ascii="Arial" w:cs="Arial" w:eastAsia="Arial" w:hAnsi="Arial"/>
                <w:sz w:val="15"/>
                <w:szCs w:val="15"/>
              </w:rPr>
              <w:t xml:space="preserve">13</w:t>
            </w:r>
          </w:p>
        </w:tc>
      </w:tr>
      <w:tr>
        <w:trPr>
          <w:cantSplit/>
        </w:trPr>
        <w:tc>
          <w:tcPr>
            <w:tcW w:type="dxa" w:w="68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10</w:t>
            </w:r>
          </w:p>
        </w:tc>
        <w:tc>
          <w:tcPr>
            <w:tcW w:type="dxa" w:w="165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Kalahandi</w:t>
            </w:r>
          </w:p>
        </w:tc>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70.1</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2,189</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1,095</w:t>
            </w:r>
          </w:p>
        </w:tc>
        <w:tc>
          <w:tcPr>
            <w:tcW w:type="dxa" w:w="146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95%</w:t>
            </w:r>
          </w:p>
        </w:tc>
        <w:tc>
          <w:tcPr>
            <w:tcW w:type="dxa" w:w="107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56%</w:t>
            </w:r>
          </w:p>
        </w:tc>
        <w:tc>
          <w:tcPr>
            <w:tcW w:type="dxa" w:w="974"/>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24</w:t>
            </w:r>
          </w:p>
        </w:tc>
      </w:tr>
    </w:tbl>
    <w:p>
      <w:pPr>
        <w:spacing w:after="80"/>
      </w:pPr>
    </w:p>
    <w:p>
      <w:pPr>
        <w:spacing w:after="30" w:before="0" w:line="264"/>
      </w:pPr>
      <w:r>
        <w:rPr>
          <w:rFonts w:ascii="Arial" w:cs="Arial" w:eastAsia="Arial" w:hAnsi="Arial"/>
          <w:b/>
          <w:bCs/>
        </w:rPr>
        <w:t xml:space="preserve">Weight sensitivity (Done).</w:t>
      </w:r>
      <w:r>
        <w:rPr>
          <w:rFonts w:ascii="Arial" w:cs="Arial" w:eastAsia="Arial" w:hAnsi="Arial"/>
        </w:rPr>
        <w:t xml:space="preserve"> We ran 12 weight variants plus a capped-momentum check; results are below.</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4486"/>
        <w:gridCol w:w="1755"/>
        <w:gridCol w:w="1755"/>
        <w:gridCol w:w="1756"/>
      </w:tblGrid>
      <w:tr>
        <w:trPr>
          <w:cantSplit/>
          <w:tblHeader/>
        </w:trPr>
        <w:tc>
          <w:tcPr>
            <w:tcW w:type="dxa" w:w="448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Variant</w:t>
            </w:r>
          </w:p>
        </w:tc>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Spearman ρ vs Base</w:t>
            </w:r>
          </w:p>
        </w:tc>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Top-10 overlap</w:t>
            </w:r>
          </w:p>
        </w:tc>
        <w:tc>
          <w:tcPr>
            <w:tcW w:type="dxa" w:w="175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Max rank change</w:t>
            </w:r>
          </w:p>
        </w:tc>
      </w:tr>
      <w:tr>
        <w:trPr>
          <w:cantSplit/>
        </w:trPr>
        <w:tc>
          <w:tcPr>
            <w:tcW w:type="dxa" w:w="4486"/>
            <w:tcMar>
              <w:top w:type="dxa" w:w="50"/>
              <w:left w:type="dxa" w:w="80"/>
              <w:bottom w:type="dxa" w:w="50"/>
              <w:right w:type="dxa" w:w="80"/>
            </w:tcMar>
            <w:vAlign w:val="center"/>
          </w:tcPr>
          <w:p>
            <w:pPr>
              <w:spacing w:after="0" w:line="240"/>
            </w:pPr>
            <w:r>
              <w:rPr>
                <w:rFonts w:ascii="Arial" w:cs="Arial" w:eastAsia="Arial" w:hAnsi="Arial"/>
                <w:sz w:val="16"/>
                <w:szCs w:val="16"/>
              </w:rPr>
              <w:t xml:space="preserve">Equal weights 33/33/33</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0.975</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10/10</w:t>
            </w:r>
          </w:p>
        </w:tc>
        <w:tc>
          <w:tcPr>
            <w:tcW w:type="dxa" w:w="1756"/>
            <w:tcMar>
              <w:top w:type="dxa" w:w="50"/>
              <w:left w:type="dxa" w:w="80"/>
              <w:bottom w:type="dxa" w:w="50"/>
              <w:right w:type="dxa" w:w="80"/>
            </w:tcMar>
            <w:vAlign w:val="center"/>
          </w:tcPr>
          <w:p>
            <w:pPr>
              <w:spacing w:after="0" w:line="240"/>
            </w:pPr>
            <w:r>
              <w:rPr>
                <w:rFonts w:ascii="Arial" w:cs="Arial" w:eastAsia="Arial" w:hAnsi="Arial"/>
                <w:sz w:val="16"/>
                <w:szCs w:val="16"/>
              </w:rPr>
              <w:t xml:space="preserve">4</w:t>
            </w:r>
          </w:p>
        </w:tc>
      </w:tr>
      <w:tr>
        <w:trPr>
          <w:cantSplit/>
        </w:trPr>
        <w:tc>
          <w:tcPr>
            <w:tcW w:type="dxa" w:w="448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Six ±10-point shifts (min to max)</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0.951 to 0.977</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8 to 10/10</w:t>
            </w:r>
          </w:p>
        </w:tc>
        <w:tc>
          <w:tcPr>
            <w:tcW w:type="dxa" w:w="175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4 to 6</w:t>
            </w:r>
          </w:p>
        </w:tc>
      </w:tr>
      <w:tr>
        <w:trPr>
          <w:cantSplit/>
        </w:trPr>
        <w:tc>
          <w:tcPr>
            <w:tcW w:type="dxa" w:w="4486"/>
            <w:tcMar>
              <w:top w:type="dxa" w:w="50"/>
              <w:left w:type="dxa" w:w="80"/>
              <w:bottom w:type="dxa" w:w="50"/>
              <w:right w:type="dxa" w:w="80"/>
            </w:tcMar>
            <w:vAlign w:val="center"/>
          </w:tcPr>
          <w:p>
            <w:pPr>
              <w:spacing w:after="0" w:line="240"/>
            </w:pPr>
            <w:r>
              <w:rPr>
                <w:rFonts w:ascii="Arial" w:cs="Arial" w:eastAsia="Arial" w:hAnsi="Arial"/>
                <w:sz w:val="16"/>
                <w:szCs w:val="16"/>
              </w:rPr>
              <w:t xml:space="preserve">PCA first-component weights (0.46 / 0.40 / 0.13)</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0.968</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9/10</w:t>
            </w:r>
          </w:p>
        </w:tc>
        <w:tc>
          <w:tcPr>
            <w:tcW w:type="dxa" w:w="1756"/>
            <w:tcMar>
              <w:top w:type="dxa" w:w="50"/>
              <w:left w:type="dxa" w:w="80"/>
              <w:bottom w:type="dxa" w:w="50"/>
              <w:right w:type="dxa" w:w="80"/>
            </w:tcMar>
            <w:vAlign w:val="center"/>
          </w:tcPr>
          <w:p>
            <w:pPr>
              <w:spacing w:after="0" w:line="240"/>
            </w:pPr>
            <w:r>
              <w:rPr>
                <w:rFonts w:ascii="Arial" w:cs="Arial" w:eastAsia="Arial" w:hAnsi="Arial"/>
                <w:sz w:val="16"/>
                <w:szCs w:val="16"/>
              </w:rPr>
              <w:t xml:space="preserve">6</w:t>
            </w:r>
          </w:p>
        </w:tc>
      </w:tr>
      <w:tr>
        <w:trPr>
          <w:cantSplit/>
        </w:trPr>
        <w:tc>
          <w:tcPr>
            <w:tcW w:type="dxa" w:w="448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Leave one out (load / access / momentum)</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0.754 / 0.828 / 0.882</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8 / 7 / 7</w:t>
            </w:r>
          </w:p>
        </w:tc>
        <w:tc>
          <w:tcPr>
            <w:tcW w:type="dxa" w:w="175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17 / 13 / 8</w:t>
            </w:r>
          </w:p>
        </w:tc>
      </w:tr>
      <w:tr>
        <w:trPr>
          <w:cantSplit/>
        </w:trPr>
        <w:tc>
          <w:tcPr>
            <w:tcW w:type="dxa" w:w="4486"/>
            <w:tcMar>
              <w:top w:type="dxa" w:w="50"/>
              <w:left w:type="dxa" w:w="80"/>
              <w:bottom w:type="dxa" w:w="50"/>
              <w:right w:type="dxa" w:w="80"/>
            </w:tcMar>
            <w:vAlign w:val="center"/>
          </w:tcPr>
          <w:p>
            <w:pPr>
              <w:spacing w:after="0" w:line="240"/>
            </w:pPr>
            <w:r>
              <w:rPr>
                <w:rFonts w:ascii="Arial" w:cs="Arial" w:eastAsia="Arial" w:hAnsi="Arial"/>
                <w:sz w:val="16"/>
                <w:szCs w:val="16"/>
              </w:rPr>
              <w:t xml:space="preserve">Momentum capped at 95th percentile</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1.000</w:t>
            </w:r>
          </w:p>
        </w:tc>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10/10</w:t>
            </w:r>
          </w:p>
        </w:tc>
        <w:tc>
          <w:tcPr>
            <w:tcW w:type="dxa" w:w="1756"/>
            <w:tcMar>
              <w:top w:type="dxa" w:w="50"/>
              <w:left w:type="dxa" w:w="80"/>
              <w:bottom w:type="dxa" w:w="50"/>
              <w:right w:type="dxa" w:w="80"/>
            </w:tcMar>
            <w:vAlign w:val="center"/>
          </w:tcPr>
          <w:p>
            <w:pPr>
              <w:spacing w:after="0" w:line="240"/>
            </w:pPr>
            <w:r>
              <w:rPr>
                <w:rFonts w:ascii="Arial" w:cs="Arial" w:eastAsia="Arial" w:hAnsi="Arial"/>
                <w:sz w:val="16"/>
                <w:szCs w:val="16"/>
              </w:rPr>
              <w:t xml:space="preserve">0</w:t>
            </w:r>
          </w:p>
        </w:tc>
      </w:tr>
    </w:tbl>
    <w:p>
      <w:pPr>
        <w:spacing w:after="80"/>
      </w:pPr>
    </w:p>
    <w:p>
      <w:pPr>
        <w:pStyle w:val="ListParagraph"/>
        <w:numPr>
          <w:ilvl w:val="0"/>
          <w:numId w:val="2"/>
        </w:numPr>
        <w:spacing w:after="40" w:line="252"/>
      </w:pPr>
      <w:r>
        <w:rPr>
          <w:rFonts w:ascii="Arial" w:cs="Arial" w:eastAsia="Arial" w:hAnsi="Arial"/>
          <w:b/>
          <w:bCs/>
        </w:rPr>
        <w:t xml:space="preserve">Result.</w:t>
      </w:r>
      <w:r>
        <w:rPr>
          <w:rFonts w:ascii="Arial" w:cs="Arial" w:eastAsia="Arial" w:hAnsi="Arial"/>
        </w:rPr>
        <w:t xml:space="preserve"> Every weighting variant passes our rule (ρ ≥ 0.85 and ≥ 8 of 10 districts shared), so the ranking is robust to the choice of weights. Leave-one-out tests move ranks most, which shows each component adds information.</w:t>
      </w:r>
    </w:p>
    <w:p>
      <w:pPr>
        <w:pStyle w:val="ListParagraph"/>
        <w:numPr>
          <w:ilvl w:val="0"/>
          <w:numId w:val="2"/>
        </w:numPr>
        <w:spacing w:after="40" w:line="252"/>
      </w:pPr>
      <w:r>
        <w:rPr>
          <w:rFonts w:ascii="Arial" w:cs="Arial" w:eastAsia="Arial" w:hAnsi="Arial"/>
          <w:b/>
          <w:bCs/>
        </w:rPr>
        <w:t xml:space="preserve">Incomplete charger data.</w:t>
      </w:r>
      <w:r>
        <w:rPr>
          <w:rFonts w:ascii="Arial" w:cs="Arial" w:eastAsia="Arial" w:hAnsi="Arial"/>
        </w:rPr>
        <w:t xml:space="preserve"> We publish GI_obs and GI_scaled (points ÷ completeness). Maximum rank change is 5, only for Gajapati (no mapped charger). Uniform scaling cannot reveal where the missing chargers are, so Access from observed chargers is an </w:t>
      </w:r>
      <w:r>
        <w:rPr>
          <w:rFonts w:ascii="Arial" w:cs="Arial" w:eastAsia="Arial" w:hAnsi="Arial"/>
          <w:b/>
          <w:bCs/>
        </w:rPr>
        <w:t xml:space="preserve">upper bound on underservice</w:t>
      </w:r>
      <w:r>
        <w:rPr>
          <w:rFonts w:ascii="Arial" w:cs="Arial" w:eastAsia="Arial" w:hAnsi="Arial"/>
        </w:rPr>
        <w:t xml:space="preserve">. Each district carries a data-confidence flag.</w:t>
      </w:r>
    </w:p>
    <w:p>
      <w:pPr>
        <w:pStyle w:val="ListParagraph"/>
        <w:numPr>
          <w:ilvl w:val="0"/>
          <w:numId w:val="2"/>
        </w:numPr>
        <w:spacing w:after="40" w:line="252"/>
      </w:pPr>
      <w:r>
        <w:rPr>
          <w:rFonts w:ascii="Arial" w:cs="Arial" w:eastAsia="Arial" w:hAnsi="Arial"/>
          <w:b/>
          <w:bCs/>
        </w:rPr>
        <w:t xml:space="preserve">Note:</w:t>
      </w:r>
      <w:r>
        <w:rPr>
          <w:rFonts w:ascii="Arial" w:cs="Arial" w:eastAsia="Arial" w:hAnsi="Arial"/>
        </w:rPr>
        <w:t xml:space="preserve"> the separate ±30% test in Section 10 is on FY30 charge-point gaps, not on this index.</w:t>
      </w:r>
    </w:p>
    <w:p>
      <w:pPr>
        <w:pStyle w:val="Heading1"/>
        <w:keepNext/>
        <w:spacing w:after="100" w:before="200"/>
      </w:pPr>
      <w:r>
        <w:t xml:space="preserve">8. Norm compliance (Done)</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926"/>
        <w:gridCol w:w="3511"/>
        <w:gridCol w:w="3315"/>
      </w:tblGrid>
      <w:tr>
        <w:trPr>
          <w:cantSplit/>
          <w:tblHeader/>
        </w:trPr>
        <w:tc>
          <w:tcPr>
            <w:tcW w:type="dxa" w:w="292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Norm (MoP, 17 Sep 2024)</w:t>
            </w:r>
          </w:p>
        </w:tc>
        <w:tc>
          <w:tcPr>
            <w:tcW w:type="dxa" w:w="351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Measurement</w:t>
            </w:r>
          </w:p>
        </w:tc>
        <w:tc>
          <w:tcPr>
            <w:tcW w:type="dxa" w:w="331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Result</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≥1 public station per 1×1 km urban grid by FY 2030</w:t>
            </w:r>
          </w:p>
        </w:tc>
        <w:tc>
          <w:tcPr>
            <w:tcW w:type="dxa" w:w="3511"/>
            <w:tcMar>
              <w:top w:type="dxa" w:w="50"/>
              <w:left w:type="dxa" w:w="80"/>
              <w:bottom w:type="dxa" w:w="50"/>
              <w:right w:type="dxa" w:w="80"/>
            </w:tcMar>
            <w:vAlign w:val="center"/>
          </w:tcPr>
          <w:p>
            <w:pPr>
              <w:spacing w:after="0" w:line="240"/>
            </w:pPr>
            <w:r>
              <w:rPr>
                <w:rFonts w:ascii="Arial" w:cs="Arial" w:eastAsia="Arial" w:hAnsi="Arial"/>
                <w:sz w:val="16"/>
                <w:szCs w:val="16"/>
              </w:rPr>
              <w:t xml:space="preserve">Bhubaneswar Municipal Corporation (146.9 km²) split into 183 H3 res-8 cells; share of cells with a charger ≤1 km away</w:t>
            </w:r>
          </w:p>
        </w:tc>
        <w:tc>
          <w:tcPr>
            <w:tcW w:type="dxa" w:w="331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24.6%</w:t>
            </w:r>
            <w:r>
              <w:rPr>
                <w:rFonts w:ascii="Arial" w:cs="Arial" w:eastAsia="Arial" w:hAnsi="Arial"/>
                <w:sz w:val="16"/>
                <w:szCs w:val="16"/>
              </w:rPr>
              <w:t xml:space="preserve"> of cells covered; 19 stations vs ~147 implied; median distance 1.6 km</w:t>
            </w:r>
          </w:p>
        </w:tc>
      </w:tr>
      <w:tr>
        <w:trPr>
          <w:cantSplit/>
        </w:trPr>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 station every 20 km on both sides of highways</w:t>
            </w:r>
          </w:p>
        </w:tc>
        <w:tc>
          <w:tcPr>
            <w:tcW w:type="dxa" w:w="351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NH-16 in Odisha (437 km OSM centreline); gaps between chargers within 2 km of the road</w:t>
            </w:r>
          </w:p>
        </w:tc>
        <w:tc>
          <w:tcPr>
            <w:tcW w:type="dxa" w:w="3315"/>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6 gaps &gt; 20 km</w:t>
            </w:r>
            <w:r>
              <w:rPr>
                <w:rFonts w:ascii="Arial" w:cs="Arial" w:eastAsia="Arial" w:hAnsi="Arial"/>
                <w:sz w:val="16"/>
                <w:szCs w:val="16"/>
              </w:rPr>
              <w:t xml:space="preserve"> (max 49.4 km); 96 chargers near the corridor</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Fast charging for long-range / heavy vehicles</w:t>
            </w:r>
          </w:p>
        </w:tc>
        <w:tc>
          <w:tcPr>
            <w:tcW w:type="dxa" w:w="3511"/>
            <w:tcMar>
              <w:top w:type="dxa" w:w="50"/>
              <w:left w:type="dxa" w:w="80"/>
              <w:bottom w:type="dxa" w:w="50"/>
              <w:right w:type="dxa" w:w="80"/>
            </w:tcMar>
            <w:vAlign w:val="center"/>
          </w:tcPr>
          <w:p>
            <w:pPr>
              <w:spacing w:after="0" w:line="240"/>
            </w:pPr>
            <w:r>
              <w:rPr>
                <w:rFonts w:ascii="Arial" w:cs="Arial" w:eastAsia="Arial" w:hAnsi="Arial"/>
                <w:sz w:val="16"/>
                <w:szCs w:val="16"/>
              </w:rPr>
              <w:t xml:space="preserve">Same corridor, DC chargers only</w:t>
            </w:r>
          </w:p>
        </w:tc>
        <w:tc>
          <w:tcPr>
            <w:tcW w:type="dxa" w:w="331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7 gaps &gt; 20 km</w:t>
            </w:r>
            <w:r>
              <w:rPr>
                <w:rFonts w:ascii="Arial" w:cs="Arial" w:eastAsia="Arial" w:hAnsi="Arial"/>
                <w:sz w:val="16"/>
                <w:szCs w:val="16"/>
              </w:rPr>
              <w:t xml:space="preserve"> (max 78.4 km); 24 DC chargers</w:t>
            </w:r>
          </w:p>
        </w:tc>
      </w:tr>
    </w:tbl>
    <w:p>
      <w:pPr>
        <w:spacing w:after="80"/>
      </w:pPr>
    </w:p>
    <w:p>
      <w:pPr>
        <w:spacing w:after="80" w:before="0" w:line="264"/>
      </w:pPr>
      <w:r>
        <w:rPr>
          <w:rFonts w:ascii="Arial" w:cs="Arial" w:eastAsia="Arial" w:hAnsi="Arial"/>
          <w:i/>
          <w:iCs/>
          <w:color w:val="444444"/>
          <w:sz w:val="16"/>
          <w:szCs w:val="16"/>
        </w:rPr>
        <w:t xml:space="preserve">NH-16 length is from OSM and is shorter than the official length (≈480 km+), so the gap counts are lower bounds.</w:t>
      </w:r>
    </w:p>
    <w:p>
      <w:pPr>
        <w:pStyle w:val="Heading1"/>
        <w:keepNext/>
        <w:spacing w:after="100" w:before="200"/>
      </w:pPr>
      <w:r>
        <w:t xml:space="preserve">9. Demand forecast</w:t>
      </w:r>
    </w:p>
    <w:p>
      <w:pPr>
        <w:pStyle w:val="ListParagraph"/>
        <w:numPr>
          <w:ilvl w:val="0"/>
          <w:numId w:val="2"/>
        </w:numPr>
        <w:spacing w:after="40" w:line="252"/>
      </w:pPr>
      <w:r>
        <w:rPr>
          <w:rFonts w:ascii="Arial" w:cs="Arial" w:eastAsia="Arial" w:hAnsi="Arial"/>
          <w:b/>
          <w:bCs/>
        </w:rPr>
        <w:t xml:space="preserve">Model:</w:t>
      </w:r>
      <w:r>
        <w:rPr>
          <w:rFonts w:ascii="Arial" w:cs="Arial" w:eastAsia="Arial" w:hAnsi="Arial"/>
        </w:rPr>
        <w:t xml:space="preserve"> Holt damped additive trend per segment on Odisha annual registrations, FY 2019-20 to FY 2025-26: ŷ(t+h) = ℓ_t + (φ + … + φ^h)·b_t. Damping reflects an adoption curve that is levelling off. Parameters are interpretable; seven annual points do not justify ML models.</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316"/>
        <w:gridCol w:w="2145"/>
        <w:gridCol w:w="2145"/>
        <w:gridCol w:w="2146"/>
      </w:tblGrid>
      <w:tr>
        <w:trPr>
          <w:cantSplit/>
          <w:tblHeader/>
        </w:trPr>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Backtest: train FY20-FY24, test FY25-FY26 (Done)</w:t>
            </w:r>
          </w:p>
        </w:tc>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Holt damped MAPE</w:t>
            </w:r>
          </w:p>
        </w:tc>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Log-linear MAPE</w:t>
            </w:r>
          </w:p>
        </w:tc>
        <w:tc>
          <w:tcPr>
            <w:tcW w:type="dxa" w:w="214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Decision</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2W / 4W</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6.2% / 16.9%</w:t>
            </w:r>
          </w:p>
        </w:tc>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488% / 1,276%</w:t>
            </w:r>
          </w:p>
        </w:tc>
        <w:tc>
          <w:tcPr>
            <w:tcW w:type="dxa" w:w="2146"/>
            <w:tcMar>
              <w:top w:type="dxa" w:w="50"/>
              <w:left w:type="dxa" w:w="80"/>
              <w:bottom w:type="dxa" w:w="50"/>
              <w:right w:type="dxa" w:w="80"/>
            </w:tcMar>
            <w:vAlign w:val="center"/>
          </w:tcPr>
          <w:p>
            <w:pPr>
              <w:spacing w:after="0" w:line="240"/>
            </w:pPr>
            <w:r>
              <w:rPr>
                <w:rFonts w:ascii="Arial" w:cs="Arial" w:eastAsia="Arial" w:hAnsi="Arial"/>
                <w:sz w:val="16"/>
                <w:szCs w:val="16"/>
              </w:rPr>
              <w:t xml:space="preserve">Holt</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3W e-auto / e-rickshaw</w:t>
            </w:r>
          </w:p>
        </w:tc>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48.4% / 45.8%</w:t>
            </w:r>
          </w:p>
        </w:tc>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334% / 172%</w:t>
            </w:r>
          </w:p>
        </w:tc>
        <w:tc>
          <w:tcPr>
            <w:tcW w:type="dxa" w:w="214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Holt, ±50% band</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All (weighted by volume)</w:t>
            </w:r>
          </w:p>
        </w:tc>
        <w:tc>
          <w:tcPr>
            <w:tcW w:type="dxa" w:w="214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10.2%</w:t>
            </w:r>
          </w:p>
        </w:tc>
        <w:tc>
          <w:tcPr>
            <w:tcW w:type="dxa" w:w="2145"/>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507%</w:t>
            </w:r>
          </w:p>
        </w:tc>
        <w:tc>
          <w:tcPr>
            <w:tcW w:type="dxa" w:w="214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Holt adopted</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365"/>
        <w:gridCol w:w="5656"/>
        <w:gridCol w:w="2731"/>
      </w:tblGrid>
      <w:tr>
        <w:trPr>
          <w:cantSplit/>
          <w:tblHeader/>
        </w:trPr>
        <w:tc>
          <w:tcPr>
            <w:tcW w:type="dxa" w:w="136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Scenario</w:t>
            </w:r>
          </w:p>
        </w:tc>
        <w:tc>
          <w:tcPr>
            <w:tcW w:type="dxa" w:w="565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Definition</w:t>
            </w:r>
          </w:p>
        </w:tc>
        <w:tc>
          <w:tcPr>
            <w:tcW w:type="dxa" w:w="273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EV stock FY 2029-30 (2W/3W/4W)</w:t>
            </w:r>
          </w:p>
        </w:tc>
      </w:tr>
      <w:tr>
        <w:trPr>
          <w:cantSplit/>
        </w:trPr>
        <w:tc>
          <w:tcPr>
            <w:tcW w:type="dxa" w:w="1365"/>
            <w:tcMar>
              <w:top w:type="dxa" w:w="50"/>
              <w:left w:type="dxa" w:w="80"/>
              <w:bottom w:type="dxa" w:w="50"/>
              <w:right w:type="dxa" w:w="80"/>
            </w:tcMar>
            <w:vAlign w:val="center"/>
          </w:tcPr>
          <w:p>
            <w:pPr>
              <w:spacing w:after="0" w:line="240"/>
            </w:pPr>
            <w:r>
              <w:rPr>
                <w:rFonts w:ascii="Arial" w:cs="Arial" w:eastAsia="Arial" w:hAnsi="Arial"/>
                <w:sz w:val="16"/>
                <w:szCs w:val="16"/>
              </w:rPr>
              <w:t xml:space="preserve">Low</w:t>
            </w:r>
          </w:p>
        </w:tc>
        <w:tc>
          <w:tcPr>
            <w:tcW w:type="dxa" w:w="5656"/>
            <w:tcMar>
              <w:top w:type="dxa" w:w="50"/>
              <w:left w:type="dxa" w:w="80"/>
              <w:bottom w:type="dxa" w:w="50"/>
              <w:right w:type="dxa" w:w="80"/>
            </w:tcMar>
            <w:vAlign w:val="center"/>
          </w:tcPr>
          <w:p>
            <w:pPr>
              <w:spacing w:after="0" w:line="240"/>
            </w:pPr>
            <w:r>
              <w:rPr>
                <w:rFonts w:ascii="Arial" w:cs="Arial" w:eastAsia="Arial" w:hAnsi="Arial"/>
                <w:sz w:val="16"/>
                <w:szCs w:val="16"/>
              </w:rPr>
              <w:t xml:space="preserve">FY24→FY26 CAGR g₀; growth in year t = g₀ · 0.5^t</w:t>
            </w:r>
          </w:p>
        </w:tc>
        <w:tc>
          <w:tcPr>
            <w:tcW w:type="dxa" w:w="2731"/>
            <w:tcMar>
              <w:top w:type="dxa" w:w="50"/>
              <w:left w:type="dxa" w:w="80"/>
              <w:bottom w:type="dxa" w:w="50"/>
              <w:right w:type="dxa" w:w="80"/>
            </w:tcMar>
            <w:vAlign w:val="center"/>
          </w:tcPr>
          <w:p>
            <w:pPr>
              <w:spacing w:after="0" w:line="240"/>
            </w:pPr>
            <w:r>
              <w:rPr>
                <w:rFonts w:ascii="Arial" w:cs="Arial" w:eastAsia="Arial" w:hAnsi="Arial"/>
                <w:sz w:val="16"/>
                <w:szCs w:val="16"/>
              </w:rPr>
              <w:t xml:space="preserve">6.8 lakh</w:t>
            </w:r>
          </w:p>
        </w:tc>
      </w:tr>
      <w:tr>
        <w:trPr>
          <w:cantSplit/>
        </w:trPr>
        <w:tc>
          <w:tcPr>
            <w:tcW w:type="dxa" w:w="136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Base</w:t>
            </w:r>
          </w:p>
        </w:tc>
        <w:tc>
          <w:tcPr>
            <w:tcW w:type="dxa" w:w="565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Holt damped trend</w:t>
            </w:r>
          </w:p>
        </w:tc>
        <w:tc>
          <w:tcPr>
            <w:tcW w:type="dxa" w:w="2731"/>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8.3 lakh</w:t>
            </w:r>
          </w:p>
        </w:tc>
      </w:tr>
      <w:tr>
        <w:trPr>
          <w:cantSplit/>
        </w:trPr>
        <w:tc>
          <w:tcPr>
            <w:tcW w:type="dxa" w:w="1365"/>
            <w:tcMar>
              <w:top w:type="dxa" w:w="50"/>
              <w:left w:type="dxa" w:w="80"/>
              <w:bottom w:type="dxa" w:w="50"/>
              <w:right w:type="dxa" w:w="80"/>
            </w:tcMar>
            <w:vAlign w:val="center"/>
          </w:tcPr>
          <w:p>
            <w:pPr>
              <w:spacing w:after="0" w:line="240"/>
            </w:pPr>
            <w:r>
              <w:rPr>
                <w:rFonts w:ascii="Arial" w:cs="Arial" w:eastAsia="Arial" w:hAnsi="Arial"/>
                <w:sz w:val="16"/>
                <w:szCs w:val="16"/>
              </w:rPr>
              <w:t xml:space="preserve">High</w:t>
            </w:r>
          </w:p>
        </w:tc>
        <w:tc>
          <w:tcPr>
            <w:tcW w:type="dxa" w:w="5656"/>
            <w:tcMar>
              <w:top w:type="dxa" w:w="50"/>
              <w:left w:type="dxa" w:w="80"/>
              <w:bottom w:type="dxa" w:w="50"/>
              <w:right w:type="dxa" w:w="80"/>
            </w:tcMar>
            <w:vAlign w:val="center"/>
          </w:tcPr>
          <w:p>
            <w:pPr>
              <w:spacing w:after="0" w:line="240"/>
            </w:pPr>
            <w:r>
              <w:rPr>
                <w:rFonts w:ascii="Arial" w:cs="Arial" w:eastAsia="Arial" w:hAnsi="Arial"/>
                <w:sz w:val="16"/>
                <w:szCs w:val="16"/>
              </w:rPr>
              <w:t xml:space="preserve">EV share of new registrations rises linearly to 50% by FY30 (draft Odisha EV Policy 2025, not yet notified); segment markets held at FY26 level</w:t>
            </w:r>
          </w:p>
        </w:tc>
        <w:tc>
          <w:tcPr>
            <w:tcW w:type="dxa" w:w="2731"/>
            <w:tcMar>
              <w:top w:type="dxa" w:w="50"/>
              <w:left w:type="dxa" w:w="80"/>
              <w:bottom w:type="dxa" w:w="50"/>
              <w:right w:type="dxa" w:w="80"/>
            </w:tcMar>
            <w:vAlign w:val="center"/>
          </w:tcPr>
          <w:p>
            <w:pPr>
              <w:spacing w:after="0" w:line="240"/>
            </w:pPr>
            <w:r>
              <w:rPr>
                <w:rFonts w:ascii="Arial" w:cs="Arial" w:eastAsia="Arial" w:hAnsi="Arial"/>
                <w:sz w:val="16"/>
                <w:szCs w:val="16"/>
              </w:rPr>
              <w:t xml:space="preserve">14.4 lakh</w:t>
            </w:r>
          </w:p>
        </w:tc>
      </w:tr>
    </w:tbl>
    <w:p>
      <w:pPr>
        <w:spacing w:after="80"/>
      </w:pPr>
    </w:p>
    <w:p>
      <w:pPr>
        <w:pStyle w:val="ListParagraph"/>
        <w:numPr>
          <w:ilvl w:val="0"/>
          <w:numId w:val="2"/>
        </w:numPr>
        <w:spacing w:after="40" w:line="252"/>
      </w:pPr>
      <w:r>
        <w:rPr>
          <w:rFonts w:ascii="Arial" w:cs="Arial" w:eastAsia="Arial" w:hAnsi="Arial"/>
        </w:rPr>
        <w:t xml:space="preserve">FY 2025-26 stock is 2.47 lakh. The weak 3W forecast matters little because 3W is under 10% of public energy (Base). District allocation now uses each district's FY26 share; Round 2 adds a hierarchical district model reconciled to the state total.</w:t>
      </w:r>
    </w:p>
    <w:p>
      <w:pPr>
        <w:pStyle w:val="Heading1"/>
        <w:keepNext/>
        <w:spacing w:after="100" w:before="200"/>
      </w:pPr>
      <w:r>
        <w:t xml:space="preserve">10. Charger requirement</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Pr>
      <w:tblGrid>
        <w:gridCol w:w="9752"/>
      </w:tblGrid>
      <w:tr>
        <w:tc>
          <w:tcPr>
            <w:tcW w:type="dxa" w:w="9752"/>
            <w:shd w:fill="EEEEEE" w:color="auto" w:val="clear"/>
            <w:tcMar>
              <w:top w:type="dxa" w:w="100"/>
              <w:left w:type="dxa" w:w="160"/>
              <w:bottom w:type="dxa" w:w="100"/>
              <w:right w:type="dxa" w:w="160"/>
            </w:tcMar>
          </w:tcPr>
          <w:p>
            <w:pPr>
              <w:spacing w:after="30"/>
            </w:pPr>
            <w:r>
              <w:rPr>
                <w:rFonts w:ascii="Consolas" w:cs="Consolas" w:eastAsia="Consolas" w:hAnsi="Consolas"/>
                <w:sz w:val="17"/>
                <w:szCs w:val="17"/>
              </w:rPr>
              <w:t xml:space="preserve">E_pub[d] = Σ_s  STOCK[d,s] × km_s × (Wh/km)_s / 1000 × share_s          (kWh/day)</w:t>
            </w:r>
          </w:p>
          <w:p>
            <w:pPr>
              <w:spacing w:after="30"/>
            </w:pPr>
            <w:r>
              <w:rPr>
                <w:rFonts w:ascii="Consolas" w:cs="Consolas" w:eastAsia="Consolas" w:hAnsi="Consolas"/>
                <w:sz w:val="17"/>
                <w:szCs w:val="17"/>
              </w:rPr>
              <w:t xml:space="preserve">N_light  = E_light / (7.4 kW × 6 h)        N_DC,energy = E_DC / (60 kW × 4 h)</w:t>
            </w:r>
          </w:p>
          <w:p>
            <w:pPr>
              <w:spacing w:after="30"/>
            </w:pPr>
            <w:r>
              <w:rPr>
                <w:rFonts w:ascii="Consolas" w:cs="Consolas" w:eastAsia="Consolas" w:hAnsi="Consolas"/>
                <w:sz w:val="17"/>
                <w:szCs w:val="17"/>
              </w:rPr>
              <w:t xml:space="preserve">N_DC,corridor = Σ_NH ⌈ L_NH / 20 km ⌉ × 2 sides      (+ ⌈L/100⌉ × 2 heavy-duty)</w:t>
            </w:r>
          </w:p>
          <w:p>
            <w:pPr>
              <w:spacing w:after="30"/>
            </w:pPr>
            <w:r>
              <w:rPr>
                <w:rFonts w:ascii="Consolas" w:cs="Consolas" w:eastAsia="Consolas" w:hAnsi="Consolas"/>
                <w:sz w:val="17"/>
                <w:szCs w:val="17"/>
              </w:rPr>
              <w:t xml:space="preserve">N_DC = max(N_DC,energy , N_DC,corridor)     Gap = max(0, N − existing_scaled)</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145"/>
        <w:gridCol w:w="1268"/>
        <w:gridCol w:w="1268"/>
        <w:gridCol w:w="1268"/>
        <w:gridCol w:w="1268"/>
        <w:gridCol w:w="2535"/>
      </w:tblGrid>
      <w:tr>
        <w:trPr>
          <w:cantSplit/>
          <w:tblHeader/>
        </w:trPr>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Parameter</w:t>
            </w:r>
          </w:p>
        </w:tc>
        <w:tc>
          <w:tcPr>
            <w:tcW w:type="dxa" w:w="126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2W</w:t>
            </w:r>
          </w:p>
        </w:tc>
        <w:tc>
          <w:tcPr>
            <w:tcW w:type="dxa" w:w="126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e-auto</w:t>
            </w:r>
          </w:p>
        </w:tc>
        <w:tc>
          <w:tcPr>
            <w:tcW w:type="dxa" w:w="126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e-rickshaw</w:t>
            </w:r>
          </w:p>
        </w:tc>
        <w:tc>
          <w:tcPr>
            <w:tcW w:type="dxa" w:w="126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4W</w:t>
            </w:r>
          </w:p>
        </w:tc>
        <w:tc>
          <w:tcPr>
            <w:tcW w:type="dxa" w:w="253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Source</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km/day</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25</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100</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70</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35*</w:t>
            </w:r>
          </w:p>
        </w:tc>
        <w:tc>
          <w:tcPr>
            <w:tcW w:type="dxa" w:w="2535"/>
            <w:tcMar>
              <w:top w:type="dxa" w:w="50"/>
              <w:left w:type="dxa" w:w="80"/>
              <w:bottom w:type="dxa" w:w="50"/>
              <w:right w:type="dxa" w:w="80"/>
            </w:tcMar>
            <w:vAlign w:val="center"/>
          </w:tcPr>
          <w:p>
            <w:pPr>
              <w:spacing w:after="0" w:line="240"/>
            </w:pPr>
            <w:r>
              <w:rPr>
                <w:rFonts w:ascii="Arial" w:cs="Arial" w:eastAsia="Arial" w:hAnsi="Arial"/>
                <w:sz w:val="16"/>
                <w:szCs w:val="16"/>
              </w:rPr>
              <w:t xml:space="preserve">Ather, CSTEP, WRI [20][16]</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Wh/km</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33</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60</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77</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123</w:t>
            </w:r>
          </w:p>
        </w:tc>
        <w:tc>
          <w:tcPr>
            <w:tcW w:type="dxa" w:w="253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LBNL, WRI [15][16]</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6"/>
                <w:szCs w:val="16"/>
              </w:rPr>
              <w:t xml:space="preserve">Public-charging share</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10%</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30%*</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2.5%*</w:t>
            </w:r>
          </w:p>
        </w:tc>
        <w:tc>
          <w:tcPr>
            <w:tcW w:type="dxa" w:w="1268"/>
            <w:tcMar>
              <w:top w:type="dxa" w:w="50"/>
              <w:left w:type="dxa" w:w="80"/>
              <w:bottom w:type="dxa" w:w="50"/>
              <w:right w:type="dxa" w:w="80"/>
            </w:tcMar>
            <w:vAlign w:val="center"/>
          </w:tcPr>
          <w:p>
            <w:pPr>
              <w:spacing w:after="0" w:line="240"/>
            </w:pPr>
            <w:r>
              <w:rPr>
                <w:rFonts w:ascii="Arial" w:cs="Arial" w:eastAsia="Arial" w:hAnsi="Arial"/>
                <w:sz w:val="16"/>
                <w:szCs w:val="16"/>
              </w:rPr>
              <w:t xml:space="preserve">20%*</w:t>
            </w:r>
          </w:p>
        </w:tc>
        <w:tc>
          <w:tcPr>
            <w:tcW w:type="dxa" w:w="2535"/>
            <w:tcMar>
              <w:top w:type="dxa" w:w="50"/>
              <w:left w:type="dxa" w:w="80"/>
              <w:bottom w:type="dxa" w:w="50"/>
              <w:right w:type="dxa" w:w="80"/>
            </w:tcMar>
            <w:vAlign w:val="center"/>
          </w:tcPr>
          <w:p>
            <w:pPr>
              <w:spacing w:after="0" w:line="240"/>
            </w:pPr>
            <w:r>
              <w:rPr>
                <w:rFonts w:ascii="Arial" w:cs="Arial" w:eastAsia="Arial" w:hAnsi="Arial"/>
                <w:sz w:val="16"/>
                <w:szCs w:val="16"/>
              </w:rPr>
              <w:t xml:space="preserve">Kazam-AEEE, IRADe [17][18]</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Share at DC</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0</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0</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0</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60%*</w:t>
            </w:r>
          </w:p>
        </w:tc>
        <w:tc>
          <w:tcPr>
            <w:tcW w:type="dxa" w:w="253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Assumed</w:t>
            </w:r>
          </w:p>
        </w:tc>
      </w:tr>
    </w:tbl>
    <w:p>
      <w:pPr>
        <w:spacing w:after="80"/>
      </w:pPr>
    </w:p>
    <w:p>
      <w:pPr>
        <w:spacing w:after="80" w:before="0" w:line="264"/>
      </w:pPr>
      <w:r>
        <w:rPr>
          <w:rFonts w:ascii="Arial" w:cs="Arial" w:eastAsia="Arial" w:hAnsi="Arial"/>
          <w:i/>
          <w:iCs/>
          <w:color w:val="444444"/>
          <w:sz w:val="15"/>
          <w:szCs w:val="15"/>
        </w:rPr>
        <w:t xml:space="preserve">* = assumed (no Indian data); stress-tested ±30%. Charger: light 7.4 kW × 6 h/day, DC 60 kW × 4 h/day (planning targets, assumed).</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316"/>
        <w:gridCol w:w="6436"/>
      </w:tblGrid>
      <w:tr>
        <w:trPr>
          <w:cantSplit/>
          <w:tblHeader/>
        </w:trPr>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Worked example: Baleshwar, Base FY 2029-30</w:t>
            </w:r>
          </w:p>
        </w:tc>
        <w:tc>
          <w:tcPr>
            <w:tcW w:type="dxa" w:w="643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Value</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EV stock FY26 → FY30</w:t>
            </w:r>
          </w:p>
        </w:tc>
        <w:tc>
          <w:tcPr>
            <w:tcW w:type="dxa" w:w="6436"/>
            <w:tcMar>
              <w:top w:type="dxa" w:w="50"/>
              <w:left w:type="dxa" w:w="80"/>
              <w:bottom w:type="dxa" w:w="50"/>
              <w:right w:type="dxa" w:w="80"/>
            </w:tcMar>
            <w:vAlign w:val="center"/>
          </w:tcPr>
          <w:p>
            <w:pPr>
              <w:spacing w:after="0" w:line="240"/>
            </w:pPr>
            <w:r>
              <w:rPr>
                <w:rFonts w:ascii="Arial" w:cs="Arial" w:eastAsia="Arial" w:hAnsi="Arial"/>
                <w:sz w:val="16"/>
                <w:szCs w:val="16"/>
              </w:rPr>
              <w:t xml:space="preserve">2W 14,225 → 48,493 · e-auto 1,315 → 3,892 · e-rickshaw 2,770 → 4,481 · 4W 397 → 2,019</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Public energy</w:t>
            </w:r>
          </w:p>
        </w:tc>
        <w:tc>
          <w:tcPr>
            <w:tcW w:type="dxa" w:w="643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4,001 + 7,005 + 604 + 1,738 = </w:t>
            </w:r>
            <w:r>
              <w:rPr>
                <w:rFonts w:ascii="Arial" w:cs="Arial" w:eastAsia="Arial" w:hAnsi="Arial"/>
                <w:b/>
                <w:bCs/>
                <w:sz w:val="16"/>
                <w:szCs w:val="16"/>
              </w:rPr>
              <w:t xml:space="preserve">13,348 kWh/day</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Light points needed</w:t>
            </w:r>
          </w:p>
        </w:tc>
        <w:tc>
          <w:tcPr>
            <w:tcW w:type="dxa" w:w="6436"/>
            <w:tcMar>
              <w:top w:type="dxa" w:w="50"/>
              <w:left w:type="dxa" w:w="80"/>
              <w:bottom w:type="dxa" w:w="50"/>
              <w:right w:type="dxa" w:w="80"/>
            </w:tcMar>
            <w:vAlign w:val="center"/>
          </w:tcPr>
          <w:p>
            <w:pPr>
              <w:spacing w:after="0" w:line="240"/>
            </w:pPr>
            <w:r>
              <w:rPr>
                <w:rFonts w:ascii="Arial" w:cs="Arial" w:eastAsia="Arial" w:hAnsi="Arial"/>
                <w:sz w:val="16"/>
                <w:szCs w:val="16"/>
              </w:rPr>
              <w:t xml:space="preserve">12,305 ÷ (7.4 × 6) = </w:t>
            </w:r>
            <w:r>
              <w:rPr>
                <w:rFonts w:ascii="Arial" w:cs="Arial" w:eastAsia="Arial" w:hAnsi="Arial"/>
                <w:b/>
                <w:bCs/>
                <w:sz w:val="16"/>
                <w:szCs w:val="16"/>
              </w:rPr>
              <w:t xml:space="preserve">277</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DC: energy vs corridor</w:t>
            </w:r>
          </w:p>
        </w:tc>
        <w:tc>
          <w:tcPr>
            <w:tcW w:type="dxa" w:w="643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energy 1,043 ÷ (60 × 4) = 4.3 · corridor: NH-16 ≈116 km in district → ⌈116/20⌉ × 2 = 12</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DC need = max(4.3, 12)</w:t>
            </w:r>
          </w:p>
        </w:tc>
        <w:tc>
          <w:tcPr>
            <w:tcW w:type="dxa" w:w="643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12 DC sites</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Existing (scaled to official count)</w:t>
            </w:r>
          </w:p>
        </w:tc>
        <w:tc>
          <w:tcPr>
            <w:tcW w:type="dxa" w:w="643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light ≈ 32 · DC ≈ 11 (12 and 4 mapped ÷ 0.38)</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Gap</w:t>
            </w:r>
          </w:p>
        </w:tc>
        <w:tc>
          <w:tcPr>
            <w:tcW w:type="dxa" w:w="6436"/>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Light ≈ 245</w:t>
            </w:r>
            <w:r>
              <w:rPr>
                <w:rFonts w:ascii="Arial" w:cs="Arial" w:eastAsia="Arial" w:hAnsi="Arial"/>
                <w:sz w:val="16"/>
                <w:szCs w:val="16"/>
              </w:rPr>
              <w:t xml:space="preserve">. DC ≈ 1 by count, but the </w:t>
            </w:r>
            <w:r>
              <w:rPr>
                <w:rFonts w:ascii="Arial" w:cs="Arial" w:eastAsia="Arial" w:hAnsi="Arial"/>
                <w:b/>
                <w:bCs/>
                <w:sz w:val="16"/>
                <w:szCs w:val="16"/>
              </w:rPr>
              <w:t xml:space="preserve">location gap</w:t>
            </w:r>
            <w:r>
              <w:rPr>
                <w:rFonts w:ascii="Arial" w:cs="Arial" w:eastAsia="Arial" w:hAnsi="Arial"/>
                <w:sz w:val="16"/>
                <w:szCs w:val="16"/>
              </w:rPr>
              <w:t xml:space="preserve"> remains: NH-16 has stretches of up to 49 km with no charger</w:t>
            </w:r>
          </w:p>
        </w:tc>
      </w:tr>
    </w:tbl>
    <w:p>
      <w:pPr>
        <w:spacing w:after="80"/>
      </w:pPr>
    </w:p>
    <w:p>
      <w:pPr>
        <w:keepNext/>
        <w:spacing w:after="40"/>
        <w:jc w:val="center"/>
      </w:pPr>
      <w:r>
        <w:drawing>
          <wp:inline distT="0" distB="0" distL="0" distR="0">
            <wp:extent cx="4495800" cy="2752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95800" cy="2752725"/>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5.</w:t>
      </w:r>
      <w:r>
        <w:rPr>
          <w:rFonts w:ascii="Arial" w:cs="Arial" w:eastAsia="Arial" w:hAnsi="Arial"/>
          <w:sz w:val="17"/>
          <w:szCs w:val="17"/>
        </w:rPr>
        <w:t xml:space="preserve"> Odisha public charge points: today (observed, and scaled to the official count) vs FY 2029-30 need by scenario.</w:t>
      </w:r>
    </w:p>
    <w:p>
      <w:pPr>
        <w:spacing w:after="120"/>
        <w:jc w:val="center"/>
      </w:pPr>
      <w:r>
        <w:rPr>
          <w:rFonts w:ascii="Arial" w:cs="Arial" w:eastAsia="Arial" w:hAnsi="Arial"/>
          <w:i/>
          <w:iCs/>
          <w:color w:val="555555"/>
          <w:sz w:val="15"/>
          <w:szCs w:val="15"/>
        </w:rPr>
        <w:t xml:space="preserve">Source: Team analysis; parameters as in the table above; EV stock from VAHAN 4 [1].</w:t>
      </w:r>
    </w:p>
    <w:p>
      <w:pPr>
        <w:pStyle w:val="ListParagraph"/>
        <w:numPr>
          <w:ilvl w:val="0"/>
          <w:numId w:val="2"/>
        </w:numPr>
        <w:spacing w:after="40" w:line="252"/>
      </w:pPr>
      <w:r>
        <w:rPr>
          <w:rFonts w:ascii="Arial" w:cs="Arial" w:eastAsia="Arial" w:hAnsi="Arial"/>
          <w:b/>
          <w:bCs/>
        </w:rPr>
        <w:t xml:space="preserve">State level (Base):</w:t>
      </w:r>
      <w:r>
        <w:rPr>
          <w:rFonts w:ascii="Arial" w:cs="Arial" w:eastAsia="Arial" w:hAnsi="Arial"/>
        </w:rPr>
        <w:t xml:space="preserve"> 2,822 light + 115 DC (energy-based) are needed, against about 553 + 188 existing (scaled). NH-16 alone needs ⌈437/20⌉ × 2 = </w:t>
      </w:r>
      <w:r>
        <w:rPr>
          <w:rFonts w:ascii="Arial" w:cs="Arial" w:eastAsia="Arial" w:hAnsi="Arial"/>
          <w:b/>
          <w:bCs/>
        </w:rPr>
        <w:t xml:space="preserve">44 DC sites</w:t>
      </w:r>
      <w:r>
        <w:rPr>
          <w:rFonts w:ascii="Arial" w:cs="Arial" w:eastAsia="Arial" w:hAnsi="Arial"/>
        </w:rPr>
        <w:t xml:space="preserve">, so in Odisha </w:t>
      </w:r>
      <w:r>
        <w:rPr>
          <w:rFonts w:ascii="Arial" w:cs="Arial" w:eastAsia="Arial" w:hAnsi="Arial"/>
          <w:b/>
          <w:bCs/>
        </w:rPr>
        <w:t xml:space="preserve">the corridor rule drives DC need</w:t>
      </w:r>
      <w:r>
        <w:rPr>
          <w:rFonts w:ascii="Arial" w:cs="Arial" w:eastAsia="Arial" w:hAnsi="Arial"/>
        </w:rPr>
        <w:t xml:space="preserve">.</w:t>
      </w:r>
    </w:p>
    <w:p>
      <w:pPr>
        <w:pStyle w:val="ListParagraph"/>
        <w:numPr>
          <w:ilvl w:val="0"/>
          <w:numId w:val="2"/>
        </w:numPr>
        <w:spacing w:after="40" w:line="252"/>
      </w:pPr>
      <w:r>
        <w:rPr>
          <w:rFonts w:ascii="Arial" w:cs="Arial" w:eastAsia="Arial" w:hAnsi="Arial"/>
          <w:b/>
          <w:bCs/>
        </w:rPr>
        <w:t xml:space="preserve">Sensitivity (Done):</w:t>
      </w:r>
      <w:r>
        <w:rPr>
          <w:rFonts w:ascii="Arial" w:cs="Arial" w:eastAsia="Arial" w:hAnsi="Arial"/>
        </w:rPr>
        <w:t xml:space="preserve"> ±30% on public-charging share or utilisation keeps </w:t>
      </w:r>
      <w:r>
        <w:rPr>
          <w:rFonts w:ascii="Arial" w:cs="Arial" w:eastAsia="Arial" w:hAnsi="Arial"/>
          <w:b/>
          <w:bCs/>
        </w:rPr>
        <w:t xml:space="preserve">9-10 of the top-10 gap districts</w:t>
      </w:r>
      <w:r>
        <w:rPr>
          <w:rFonts w:ascii="Arial" w:cs="Arial" w:eastAsia="Arial" w:hAnsi="Arial"/>
        </w:rPr>
        <w:t xml:space="preserve"> unchanged (total gap 1,468 to 3,536 points).</w:t>
      </w:r>
    </w:p>
    <w:p>
      <w:pPr>
        <w:keepNext/>
        <w:spacing w:after="40"/>
        <w:jc w:val="center"/>
      </w:pPr>
      <w:r>
        <w:drawing>
          <wp:inline distT="0" distB="0" distL="0" distR="0">
            <wp:extent cx="5038725" cy="37909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38725" cy="3790950"/>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6.</w:t>
      </w:r>
      <w:r>
        <w:rPr>
          <w:rFonts w:ascii="Arial" w:cs="Arial" w:eastAsia="Arial" w:hAnsi="Arial"/>
          <w:sz w:val="17"/>
          <w:szCs w:val="17"/>
        </w:rPr>
        <w:t xml:space="preserve"> Logic of the Gap Index and the charger requirement, feeding siting.</w:t>
      </w:r>
    </w:p>
    <w:p>
      <w:pPr>
        <w:spacing w:after="120"/>
        <w:jc w:val="center"/>
      </w:pPr>
      <w:r>
        <w:rPr>
          <w:rFonts w:ascii="Arial" w:cs="Arial" w:eastAsia="Arial" w:hAnsi="Arial"/>
          <w:i/>
          <w:iCs/>
          <w:color w:val="555555"/>
          <w:sz w:val="15"/>
          <w:szCs w:val="15"/>
        </w:rPr>
        <w:t xml:space="preserve">Source: Team design (Phase 4).</w:t>
      </w:r>
    </w:p>
    <w:p>
      <w:pPr>
        <w:pStyle w:val="Heading1"/>
        <w:keepNext/>
        <w:spacing w:after="100" w:before="200"/>
      </w:pPr>
      <w:r>
        <w:t xml:space="preserve">11. Siting (Round 2): Maximal Covering Location Problem</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Pr>
      <w:tblGrid>
        <w:gridCol w:w="9752"/>
      </w:tblGrid>
      <w:tr>
        <w:tc>
          <w:tcPr>
            <w:tcW w:type="dxa" w:w="9752"/>
            <w:shd w:fill="DBE9F6" w:color="auto" w:val="clear"/>
            <w:tcMar>
              <w:top w:type="dxa" w:w="100"/>
              <w:left w:type="dxa" w:w="160"/>
              <w:bottom w:type="dxa" w:w="100"/>
              <w:right w:type="dxa" w:w="160"/>
            </w:tcMar>
          </w:tcPr>
          <w:p>
            <w:pPr>
              <w:spacing w:after="50" w:line="252"/>
            </w:pPr>
            <w:r>
              <w:rPr>
                <w:rFonts w:ascii="Arial" w:cs="Arial" w:eastAsia="Arial" w:hAnsi="Arial"/>
                <w:b/>
                <w:bCs/>
                <w:sz w:val="17"/>
                <w:szCs w:val="17"/>
              </w:rPr>
              <w:t xml:space="preserve">Sets:</w:t>
            </w:r>
            <w:r>
              <w:rPr>
                <w:rFonts w:ascii="Arial" w:cs="Arial" w:eastAsia="Arial" w:hAnsi="Arial"/>
                <w:sz w:val="17"/>
                <w:szCs w:val="17"/>
              </w:rPr>
              <w:t xml:space="preserve"> I = demand cells (H3); J = candidate cells (road access + fuel station, mall, car park, government office, transit hub, PM E-DRIVE site).</w:t>
            </w:r>
          </w:p>
          <w:p>
            <w:pPr>
              <w:spacing w:after="50" w:line="252"/>
            </w:pPr>
            <w:r>
              <w:rPr>
                <w:rFonts w:ascii="Arial" w:cs="Arial" w:eastAsia="Arial" w:hAnsi="Arial"/>
                <w:b/>
                <w:bCs/>
                <w:sz w:val="17"/>
                <w:szCs w:val="17"/>
              </w:rPr>
              <w:t xml:space="preserve">Coverage:</w:t>
            </w:r>
            <w:r>
              <w:rPr>
                <w:rFonts w:ascii="Arial" w:cs="Arial" w:eastAsia="Arial" w:hAnsi="Arial"/>
                <w:sz w:val="17"/>
                <w:szCs w:val="17"/>
              </w:rPr>
              <w:t xml:space="preserve"> N_i = { j : dist(i, j) ≤ R }, with R = 1 km urban, 5 km rural, 20 km corridor.</w:t>
            </w:r>
          </w:p>
          <w:p>
            <w:pPr>
              <w:spacing w:after="50" w:line="252"/>
            </w:pPr>
            <w:r>
              <w:rPr>
                <w:rFonts w:ascii="Arial" w:cs="Arial" w:eastAsia="Arial" w:hAnsi="Arial"/>
                <w:b/>
                <w:bCs/>
                <w:sz w:val="17"/>
                <w:szCs w:val="17"/>
              </w:rPr>
              <w:t xml:space="preserve">Variables:</w:t>
            </w:r>
            <w:r>
              <w:rPr>
                <w:rFonts w:ascii="Arial" w:cs="Arial" w:eastAsia="Arial" w:hAnsi="Arial"/>
                <w:sz w:val="17"/>
                <w:szCs w:val="17"/>
              </w:rPr>
              <w:t xml:space="preserve"> x_j ∈ {0,1} (open a station at j); y_i ∈ {0,1} (cell i covered).</w:t>
            </w:r>
          </w:p>
          <w:p>
            <w:pPr>
              <w:spacing w:after="30"/>
            </w:pPr>
            <w:r>
              <w:rPr>
                <w:rFonts w:ascii="Consolas" w:cs="Consolas" w:eastAsia="Consolas" w:hAnsi="Consolas"/>
                <w:sz w:val="17"/>
                <w:szCs w:val="17"/>
              </w:rPr>
              <w:t xml:space="preserve">maximise   Σ_i w_i · y_i  −  λ · Σ_j g_j · x_j</w:t>
            </w:r>
          </w:p>
          <w:p>
            <w:pPr>
              <w:spacing w:after="30"/>
            </w:pPr>
            <w:r>
              <w:rPr>
                <w:rFonts w:ascii="Consolas" w:cs="Consolas" w:eastAsia="Consolas" w:hAnsi="Consolas"/>
                <w:sz w:val="17"/>
                <w:szCs w:val="17"/>
              </w:rPr>
              <w:t xml:space="preserve">s.t.       y_i ≤ Σ_{j∈N_i} x_j      Σ_j x_j ≤ N      x_j = 1 for existing sites</w:t>
            </w:r>
          </w:p>
          <w:p>
            <w:pPr>
              <w:spacing w:after="50" w:line="252"/>
            </w:pPr>
            <w:r>
              <w:rPr>
                <w:rFonts w:ascii="Arial" w:cs="Arial" w:eastAsia="Arial" w:hAnsi="Arial"/>
                <w:b/>
                <w:bCs/>
                <w:sz w:val="17"/>
                <w:szCs w:val="17"/>
              </w:rPr>
              <w:t xml:space="preserve">Inputs:</w:t>
            </w:r>
            <w:r>
              <w:rPr>
                <w:rFonts w:ascii="Arial" w:cs="Arial" w:eastAsia="Arial" w:hAnsi="Arial"/>
                <w:sz w:val="17"/>
                <w:szCs w:val="17"/>
              </w:rPr>
              <w:t xml:space="preserve"> w_i = unmet public kWh/day (Section 10). g_j = distance to the nearest substation (grid penalty), or a hard limit of 5 km. N = budget, e.g. Odisha's 170 PM E-DRIVE stations. Corridor sites use a 1-D greedy with a maximum spacing of 20 km.</w:t>
            </w:r>
          </w:p>
          <w:p>
            <w:pPr>
              <w:spacing w:after="50" w:line="252"/>
            </w:pPr>
            <w:r>
              <w:rPr>
                <w:rFonts w:ascii="Arial" w:cs="Arial" w:eastAsia="Arial" w:hAnsi="Arial"/>
                <w:b/>
                <w:bCs/>
                <w:sz w:val="17"/>
                <w:szCs w:val="17"/>
              </w:rPr>
              <w:t xml:space="preserve">Solver:</w:t>
            </w:r>
            <w:r>
              <w:rPr>
                <w:rFonts w:ascii="Arial" w:cs="Arial" w:eastAsia="Arial" w:hAnsi="Arial"/>
                <w:sz w:val="17"/>
                <w:szCs w:val="17"/>
              </w:rPr>
              <w:t xml:space="preserve"> PuLP + CBC with a 5-minute limit (~10⁴ cells). </w:t>
            </w:r>
            <w:r>
              <w:rPr>
                <w:rFonts w:ascii="Arial" w:cs="Arial" w:eastAsia="Arial" w:hAnsi="Arial"/>
                <w:b/>
                <w:bCs/>
                <w:sz w:val="17"/>
                <w:szCs w:val="17"/>
              </w:rPr>
              <w:t xml:space="preserve">Greedy fallback</w:t>
            </w:r>
            <w:r>
              <w:rPr>
                <w:rFonts w:ascii="Arial" w:cs="Arial" w:eastAsia="Arial" w:hAnsi="Arial"/>
                <w:sz w:val="17"/>
                <w:szCs w:val="17"/>
              </w:rPr>
              <w:t xml:space="preserve"> adds the site with the largest marginal coverage; it is guaranteed to reach at least 63% of the optimum.</w:t>
            </w:r>
          </w:p>
        </w:tc>
      </w:tr>
    </w:tbl>
    <w:p>
      <w:pPr>
        <w:spacing w:after="80"/>
      </w:pPr>
    </w:p>
    <w:p>
      <w:pPr>
        <w:pStyle w:val="ListParagraph"/>
        <w:numPr>
          <w:ilvl w:val="0"/>
          <w:numId w:val="2"/>
        </w:numPr>
        <w:spacing w:after="40" w:line="252"/>
      </w:pPr>
      <w:r>
        <w:rPr>
          <w:rFonts w:ascii="Arial" w:cs="Arial" w:eastAsia="Arial" w:hAnsi="Arial"/>
          <w:b/>
          <w:bCs/>
        </w:rPr>
        <w:t xml:space="preserve">Why MCLP:</w:t>
      </w:r>
      <w:r>
        <w:rPr>
          <w:rFonts w:ascii="Arial" w:cs="Arial" w:eastAsia="Arial" w:hAnsi="Arial"/>
        </w:rPr>
        <w:t xml:space="preserve"> it answers the planner's question ("best N sites for this budget") and maps directly to the MoP coverage norms. </w:t>
      </w:r>
      <w:r>
        <w:rPr>
          <w:rFonts w:ascii="Arial" w:cs="Arial" w:eastAsia="Arial" w:hAnsi="Arial"/>
          <w:b/>
          <w:bCs/>
        </w:rPr>
        <w:t xml:space="preserve">p-median</w:t>
      </w:r>
      <w:r>
        <w:rPr>
          <w:rFonts w:ascii="Arial" w:cs="Arial" w:eastAsia="Arial" w:hAnsi="Arial"/>
        </w:rPr>
        <w:t xml:space="preserve"> needs origin-destination trip data, which is not available. </w:t>
      </w:r>
      <w:r>
        <w:rPr>
          <w:rFonts w:ascii="Arial" w:cs="Arial" w:eastAsia="Arial" w:hAnsi="Arial"/>
          <w:b/>
          <w:bCs/>
        </w:rPr>
        <w:t xml:space="preserve">TOPSIS</w:t>
      </w:r>
      <w:r>
        <w:rPr>
          <w:rFonts w:ascii="Arial" w:cs="Arial" w:eastAsia="Arial" w:hAnsi="Arial"/>
        </w:rPr>
        <w:t xml:space="preserve"> has no budget or coverage logic and uses subjective weights, so it is kept only as a tie-breaker.</w:t>
      </w:r>
    </w:p>
    <w:p>
      <w:pPr>
        <w:pStyle w:val="Heading1"/>
        <w:keepNext/>
        <w:spacing w:after="100" w:before="200"/>
      </w:pPr>
      <w:r>
        <w:t xml:space="preserve">12. Validation</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950"/>
        <w:gridCol w:w="4291"/>
        <w:gridCol w:w="3511"/>
      </w:tblGrid>
      <w:tr>
        <w:trPr>
          <w:cantSplit/>
          <w:tblHeader/>
        </w:trPr>
        <w:tc>
          <w:tcPr>
            <w:tcW w:type="dxa" w:w="1950"/>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Test</w:t>
            </w:r>
          </w:p>
        </w:tc>
        <w:tc>
          <w:tcPr>
            <w:tcW w:type="dxa" w:w="429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Design</w:t>
            </w:r>
          </w:p>
        </w:tc>
        <w:tc>
          <w:tcPr>
            <w:tcW w:type="dxa" w:w="351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Status / pass rule</w:t>
            </w:r>
          </w:p>
        </w:tc>
      </w:tr>
      <w:tr>
        <w:trPr>
          <w:cantSplit/>
        </w:trPr>
        <w:tc>
          <w:tcPr>
            <w:tcW w:type="dxa" w:w="1950"/>
            <w:tcMar>
              <w:top w:type="dxa" w:w="50"/>
              <w:left w:type="dxa" w:w="80"/>
              <w:bottom w:type="dxa" w:w="50"/>
              <w:right w:type="dxa" w:w="80"/>
            </w:tcMar>
            <w:vAlign w:val="center"/>
          </w:tcPr>
          <w:p>
            <w:pPr>
              <w:spacing w:after="0" w:line="240"/>
            </w:pPr>
            <w:r>
              <w:rPr>
                <w:rFonts w:ascii="Arial" w:cs="Arial" w:eastAsia="Arial" w:hAnsi="Arial"/>
                <w:sz w:val="16"/>
                <w:szCs w:val="16"/>
              </w:rPr>
              <w:t xml:space="preserve">(a) Forecast backtest</w:t>
            </w:r>
          </w:p>
        </w:tc>
        <w:tc>
          <w:tcPr>
            <w:tcW w:type="dxa" w:w="4291"/>
            <w:tcMar>
              <w:top w:type="dxa" w:w="50"/>
              <w:left w:type="dxa" w:w="80"/>
              <w:bottom w:type="dxa" w:w="50"/>
              <w:right w:type="dxa" w:w="80"/>
            </w:tcMar>
            <w:vAlign w:val="center"/>
          </w:tcPr>
          <w:p>
            <w:pPr>
              <w:spacing w:after="0" w:line="240"/>
            </w:pPr>
            <w:r>
              <w:rPr>
                <w:rFonts w:ascii="Arial" w:cs="Arial" w:eastAsia="Arial" w:hAnsi="Arial"/>
                <w:sz w:val="16"/>
                <w:szCs w:val="16"/>
              </w:rPr>
              <w:t xml:space="preserve">Rolling origin: FY20-24 → FY25-26; FY20-23 → FY24-25</w:t>
            </w:r>
          </w:p>
        </w:tc>
        <w:tc>
          <w:tcPr>
            <w:tcW w:type="dxa" w:w="3511"/>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MAPE 10.2% (pass &lt; 20%)</w:t>
            </w:r>
          </w:p>
        </w:tc>
      </w:tr>
      <w:tr>
        <w:trPr>
          <w:cantSplit/>
        </w:trPr>
        <w:tc>
          <w:tcPr>
            <w:tcW w:type="dxa" w:w="1950"/>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(b) Norm compliance</w:t>
            </w:r>
          </w:p>
        </w:tc>
        <w:tc>
          <w:tcPr>
            <w:tcW w:type="dxa" w:w="429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Urban 1 km on H3 res 8; NH gaps &gt; 20 km</w:t>
            </w:r>
          </w:p>
        </w:tc>
        <w:tc>
          <w:tcPr>
            <w:tcW w:type="dxa" w:w="3511"/>
            <w:shd w:fill="F3F6FA" w:color="auto" w:val="clear"/>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Bhubaneswar 24.6%; NH-16: 6 gaps; reported as measurement</w:t>
            </w:r>
          </w:p>
        </w:tc>
      </w:tr>
      <w:tr>
        <w:trPr>
          <w:cantSplit/>
        </w:trPr>
        <w:tc>
          <w:tcPr>
            <w:tcW w:type="dxa" w:w="1950"/>
            <w:tcMar>
              <w:top w:type="dxa" w:w="50"/>
              <w:left w:type="dxa" w:w="80"/>
              <w:bottom w:type="dxa" w:w="50"/>
              <w:right w:type="dxa" w:w="80"/>
            </w:tcMar>
            <w:vAlign w:val="center"/>
          </w:tcPr>
          <w:p>
            <w:pPr>
              <w:spacing w:after="0" w:line="240"/>
            </w:pPr>
            <w:r>
              <w:rPr>
                <w:rFonts w:ascii="Arial" w:cs="Arial" w:eastAsia="Arial" w:hAnsi="Arial"/>
                <w:sz w:val="16"/>
                <w:szCs w:val="16"/>
              </w:rPr>
              <w:t xml:space="preserve">(c) Siting hold-out</w:t>
            </w:r>
          </w:p>
        </w:tc>
        <w:tc>
          <w:tcPr>
            <w:tcW w:type="dxa" w:w="4291"/>
            <w:tcMar>
              <w:top w:type="dxa" w:w="50"/>
              <w:left w:type="dxa" w:w="80"/>
              <w:bottom w:type="dxa" w:w="50"/>
              <w:right w:type="dxa" w:w="80"/>
            </w:tcMar>
            <w:vAlign w:val="center"/>
          </w:tcPr>
          <w:p>
            <w:pPr>
              <w:spacing w:after="0" w:line="240"/>
            </w:pPr>
            <w:r>
              <w:rPr>
                <w:rFonts w:ascii="Arial" w:cs="Arial" w:eastAsia="Arial" w:hAnsi="Arial"/>
                <w:sz w:val="16"/>
                <w:szCs w:val="16"/>
              </w:rPr>
              <w:t xml:space="preserve">Hide 30% of existing chargers, rerun MCLP, measure share recovered within 1/5 km (20 runs)</w:t>
            </w:r>
          </w:p>
        </w:tc>
        <w:tc>
          <w:tcPr>
            <w:tcW w:type="dxa" w:w="3511"/>
            <w:tcMar>
              <w:top w:type="dxa" w:w="50"/>
              <w:left w:type="dxa" w:w="80"/>
              <w:bottom w:type="dxa" w:w="50"/>
              <w:right w:type="dxa" w:w="80"/>
            </w:tcMar>
            <w:vAlign w:val="center"/>
          </w:tcPr>
          <w:p>
            <w:pPr>
              <w:spacing w:after="0" w:line="240"/>
            </w:pPr>
            <w:r>
              <w:rPr>
                <w:rFonts w:ascii="Arial" w:cs="Arial" w:eastAsia="Arial" w:hAnsi="Arial"/>
                <w:sz w:val="16"/>
                <w:szCs w:val="16"/>
              </w:rPr>
              <w:t xml:space="preserve">Round 2. A </w:t>
            </w:r>
            <w:r>
              <w:rPr>
                <w:rFonts w:ascii="Arial" w:cs="Arial" w:eastAsia="Arial" w:hAnsi="Arial"/>
                <w:b/>
                <w:bCs/>
                <w:sz w:val="16"/>
                <w:szCs w:val="16"/>
              </w:rPr>
              <w:t xml:space="preserve">demand-model sanity check</w:t>
            </w:r>
            <w:r>
              <w:rPr>
                <w:rFonts w:ascii="Arial" w:cs="Arial" w:eastAsia="Arial" w:hAnsi="Arial"/>
                <w:sz w:val="16"/>
                <w:szCs w:val="16"/>
              </w:rPr>
              <w:t xml:space="preserve">, not accuracy: existing chargers are city-biased, while our index targets equity. Pass: ≥ 2× random placement</w:t>
            </w:r>
          </w:p>
        </w:tc>
      </w:tr>
      <w:tr>
        <w:trPr>
          <w:cantSplit/>
        </w:trPr>
        <w:tc>
          <w:tcPr>
            <w:tcW w:type="dxa" w:w="1950"/>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 Index sanity</w:t>
            </w:r>
          </w:p>
        </w:tc>
        <w:tc>
          <w:tcPr>
            <w:tcW w:type="dxa" w:w="429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Overlap of top-quartile districts/cells with PM E-DRIVE (Odisha 170 approved in 6 cities) and state SOP sites</w:t>
            </w:r>
          </w:p>
        </w:tc>
        <w:tc>
          <w:tcPr>
            <w:tcW w:type="dxa" w:w="351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Round 2. Low rural overlap is expected and reported, not tuned away</w:t>
            </w:r>
          </w:p>
        </w:tc>
      </w:tr>
      <w:tr>
        <w:trPr>
          <w:cantSplit/>
        </w:trPr>
        <w:tc>
          <w:tcPr>
            <w:tcW w:type="dxa" w:w="1950"/>
            <w:tcMar>
              <w:top w:type="dxa" w:w="50"/>
              <w:left w:type="dxa" w:w="80"/>
              <w:bottom w:type="dxa" w:w="50"/>
              <w:right w:type="dxa" w:w="80"/>
            </w:tcMar>
            <w:vAlign w:val="center"/>
          </w:tcPr>
          <w:p>
            <w:pPr>
              <w:spacing w:after="0" w:line="240"/>
            </w:pPr>
            <w:r>
              <w:rPr>
                <w:rFonts w:ascii="Arial" w:cs="Arial" w:eastAsia="Arial" w:hAnsi="Arial"/>
                <w:sz w:val="16"/>
                <w:szCs w:val="16"/>
              </w:rPr>
              <w:t xml:space="preserve">(e) Sensitivity</w:t>
            </w:r>
          </w:p>
        </w:tc>
        <w:tc>
          <w:tcPr>
            <w:tcW w:type="dxa" w:w="4291"/>
            <w:tcMar>
              <w:top w:type="dxa" w:w="50"/>
              <w:left w:type="dxa" w:w="80"/>
              <w:bottom w:type="dxa" w:w="50"/>
              <w:right w:type="dxa" w:w="80"/>
            </w:tcMar>
            <w:vAlign w:val="center"/>
          </w:tcPr>
          <w:p>
            <w:pPr>
              <w:spacing w:after="0" w:line="240"/>
            </w:pPr>
            <w:r>
              <w:rPr>
                <w:rFonts w:ascii="Arial" w:cs="Arial" w:eastAsia="Arial" w:hAnsi="Arial"/>
                <w:sz w:val="16"/>
                <w:szCs w:val="16"/>
              </w:rPr>
              <w:t xml:space="preserve">One-at-a-time ±30% on each assumed parameter; Low/Base/High; weight variants</w:t>
            </w:r>
          </w:p>
        </w:tc>
        <w:tc>
          <w:tcPr>
            <w:tcW w:type="dxa" w:w="3511"/>
            <w:tcMar>
              <w:top w:type="dxa" w:w="50"/>
              <w:left w:type="dxa" w:w="80"/>
              <w:bottom w:type="dxa" w:w="50"/>
              <w:right w:type="dxa" w:w="80"/>
            </w:tcMar>
            <w:vAlign w:val="center"/>
          </w:tcPr>
          <w:p>
            <w:pPr>
              <w:spacing w:after="0" w:line="240"/>
            </w:pPr>
            <w:r>
              <w:rPr>
                <w:rFonts w:ascii="Arial" w:cs="Arial" w:eastAsia="Arial" w:hAnsi="Arial"/>
                <w:b/>
                <w:bCs/>
                <w:sz w:val="16"/>
                <w:szCs w:val="16"/>
              </w:rPr>
              <w:t xml:space="preserve">Done</w:t>
            </w:r>
            <w:r>
              <w:rPr>
                <w:rFonts w:ascii="Arial" w:cs="Arial" w:eastAsia="Arial" w:hAnsi="Arial"/>
                <w:sz w:val="16"/>
                <w:szCs w:val="16"/>
              </w:rPr>
              <w:t xml:space="preserve"> for share, utilisation and weights; Round 2: tornado chart</w:t>
            </w:r>
          </w:p>
        </w:tc>
      </w:tr>
    </w:tbl>
    <w:p>
      <w:pPr>
        <w:spacing w:after="80"/>
      </w:pPr>
    </w:p>
    <w:p>
      <w:pPr>
        <w:pStyle w:val="Heading1"/>
        <w:keepNext/>
        <w:spacing w:after="100" w:before="200"/>
      </w:pPr>
      <w:r>
        <w:t xml:space="preserve">13. Architecture and tech stack</w:t>
      </w:r>
    </w:p>
    <w:p>
      <w:pPr>
        <w:keepNext/>
        <w:spacing w:after="40"/>
        <w:jc w:val="center"/>
      </w:pPr>
      <w:r>
        <w:drawing>
          <wp:inline distT="0" distB="0" distL="0" distR="0">
            <wp:extent cx="4143375" cy="29337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43375" cy="2933700"/>
                    </a:xfrm>
                    <a:prstGeom prst="rect">
                      <a:avLst/>
                    </a:prstGeom>
                  </pic:spPr>
                </pic:pic>
              </a:graphicData>
            </a:graphic>
          </wp:inline>
        </w:drawing>
      </w:r>
    </w:p>
    <w:p>
      <w:pPr>
        <w:keepNext/>
        <w:spacing w:after="20"/>
        <w:jc w:val="center"/>
      </w:pPr>
      <w:r>
        <w:rPr>
          <w:rFonts w:ascii="Arial" w:cs="Arial" w:eastAsia="Arial" w:hAnsi="Arial"/>
          <w:b/>
          <w:bCs/>
          <w:sz w:val="17"/>
          <w:szCs w:val="17"/>
        </w:rPr>
        <w:t xml:space="preserve">Figure 7.</w:t>
      </w:r>
      <w:r>
        <w:rPr>
          <w:rFonts w:ascii="Arial" w:cs="Arial" w:eastAsia="Arial" w:hAnsi="Arial"/>
          <w:sz w:val="17"/>
          <w:szCs w:val="17"/>
        </w:rPr>
        <w:t xml:space="preserve"> System architecture. Solid = built in Round 2 on a laptop; dashed = future scale-up.</w:t>
      </w:r>
    </w:p>
    <w:p>
      <w:pPr>
        <w:spacing w:after="120"/>
        <w:jc w:val="center"/>
      </w:pPr>
      <w:r>
        <w:rPr>
          <w:rFonts w:ascii="Arial" w:cs="Arial" w:eastAsia="Arial" w:hAnsi="Arial"/>
          <w:i/>
          <w:iCs/>
          <w:color w:val="555555"/>
          <w:sz w:val="15"/>
          <w:szCs w:val="15"/>
        </w:rPr>
        <w:t xml:space="preserve">Source: Team design (Phase 4).</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755"/>
        <w:gridCol w:w="3316"/>
        <w:gridCol w:w="4681"/>
      </w:tblGrid>
      <w:tr>
        <w:trPr>
          <w:cantSplit/>
          <w:tblHeader/>
        </w:trPr>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Layer</w:t>
            </w:r>
          </w:p>
        </w:tc>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Tool (free / open source)</w:t>
            </w:r>
          </w:p>
        </w:tc>
        <w:tc>
          <w:tcPr>
            <w:tcW w:type="dxa" w:w="468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Why / alternative</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Data</w:t>
            </w:r>
          </w:p>
        </w:tc>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PostgreSQL + PostGIS (+ h3-pg); versioned raw files</w:t>
            </w:r>
          </w:p>
        </w:tc>
        <w:tc>
          <w:tcPr>
            <w:tcW w:type="dxa" w:w="4681"/>
            <w:tcMar>
              <w:top w:type="dxa" w:w="50"/>
              <w:left w:type="dxa" w:w="80"/>
              <w:bottom w:type="dxa" w:w="50"/>
              <w:right w:type="dxa" w:w="80"/>
            </w:tcMar>
            <w:vAlign w:val="center"/>
          </w:tcPr>
          <w:p>
            <w:pPr>
              <w:spacing w:after="0" w:line="240"/>
            </w:pPr>
            <w:r>
              <w:rPr>
                <w:rFonts w:ascii="Arial" w:cs="Arial" w:eastAsia="Arial" w:hAnsi="Arial"/>
                <w:sz w:val="16"/>
                <w:szCs w:val="16"/>
              </w:rPr>
              <w:t xml:space="preserve">Spatial SQL that scales nationally / DuckDB-spatial</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Processing</w:t>
            </w:r>
          </w:p>
        </w:tc>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Python: pandas, geopandas, h3, rasterio</w:t>
            </w:r>
          </w:p>
        </w:tc>
        <w:tc>
          <w:tcPr>
            <w:tcW w:type="dxa" w:w="468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Same code as the working prototype / polars</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Models</w:t>
            </w:r>
          </w:p>
        </w:tc>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statsmodels (Holt); PuLP + CBC</w:t>
            </w:r>
          </w:p>
        </w:tc>
        <w:tc>
          <w:tcPr>
            <w:tcW w:type="dxa" w:w="4681"/>
            <w:tcMar>
              <w:top w:type="dxa" w:w="50"/>
              <w:left w:type="dxa" w:w="80"/>
              <w:bottom w:type="dxa" w:w="50"/>
              <w:right w:type="dxa" w:w="80"/>
            </w:tcMar>
            <w:vAlign w:val="center"/>
          </w:tcPr>
          <w:p>
            <w:pPr>
              <w:spacing w:after="0" w:line="240"/>
            </w:pPr>
            <w:r>
              <w:rPr>
                <w:rFonts w:ascii="Arial" w:cs="Arial" w:eastAsia="Arial" w:hAnsi="Arial"/>
                <w:sz w:val="16"/>
                <w:szCs w:val="16"/>
              </w:rPr>
              <w:t xml:space="preserve">Interpretable, backtested; free MILP solver / OR-Tools</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API</w:t>
            </w:r>
          </w:p>
        </w:tc>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FastAPI (REST + GeoJSON)</w:t>
            </w:r>
          </w:p>
        </w:tc>
        <w:tc>
          <w:tcPr>
            <w:tcW w:type="dxa" w:w="468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Typed, auto-documented / Flask</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Frontend</w:t>
            </w:r>
          </w:p>
        </w:tc>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React + Leaflet, Recharts; OSM / MapLibre basemap</w:t>
            </w:r>
          </w:p>
        </w:tc>
        <w:tc>
          <w:tcPr>
            <w:tcW w:type="dxa" w:w="4681"/>
            <w:tcMar>
              <w:top w:type="dxa" w:w="50"/>
              <w:left w:type="dxa" w:w="80"/>
              <w:bottom w:type="dxa" w:w="50"/>
              <w:right w:type="dxa" w:w="80"/>
            </w:tcMar>
            <w:vAlign w:val="center"/>
          </w:tcPr>
          <w:p>
            <w:pPr>
              <w:spacing w:after="0" w:line="240"/>
            </w:pPr>
            <w:r>
              <w:rPr>
                <w:rFonts w:ascii="Arial" w:cs="Arial" w:eastAsia="Arial" w:hAnsi="Arial"/>
                <w:sz w:val="16"/>
                <w:szCs w:val="16"/>
              </w:rPr>
              <w:t xml:space="preserve">Light, works offline / Streamlit fallback</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Ops</w:t>
            </w:r>
          </w:p>
        </w:tc>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Git/GitHub, Docker Compose, cron / GitHub Actions</w:t>
            </w:r>
          </w:p>
        </w:tc>
        <w:tc>
          <w:tcPr>
            <w:tcW w:type="dxa" w:w="468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One-command demo; reproducible refresh</w:t>
            </w:r>
          </w:p>
        </w:tc>
      </w:tr>
    </w:tbl>
    <w:p>
      <w:pPr>
        <w:spacing w:after="80"/>
      </w:pPr>
    </w:p>
    <w:p>
      <w:pPr>
        <w:pStyle w:val="Heading1"/>
        <w:keepNext/>
        <w:spacing w:after="100" w:before="200"/>
      </w:pPr>
      <w:r>
        <w:t xml:space="preserve">14. Implementation roadmap (7 Nov to 16 Dec 2026)</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878"/>
        <w:gridCol w:w="1268"/>
        <w:gridCol w:w="3608"/>
        <w:gridCol w:w="2243"/>
        <w:gridCol w:w="780"/>
        <w:gridCol w:w="975"/>
      </w:tblGrid>
      <w:tr>
        <w:trPr>
          <w:cantSplit/>
          <w:tblHeader/>
        </w:trPr>
        <w:tc>
          <w:tcPr>
            <w:tcW w:type="dxa" w:w="87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Week</w:t>
            </w:r>
          </w:p>
        </w:tc>
        <w:tc>
          <w:tcPr>
            <w:tcW w:type="dxa" w:w="126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Dates</w:t>
            </w:r>
          </w:p>
        </w:tc>
        <w:tc>
          <w:tcPr>
            <w:tcW w:type="dxa" w:w="360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Tasks</w:t>
            </w:r>
          </w:p>
        </w:tc>
        <w:tc>
          <w:tcPr>
            <w:tcW w:type="dxa" w:w="2243"/>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Output</w:t>
            </w:r>
          </w:p>
        </w:tc>
        <w:tc>
          <w:tcPr>
            <w:tcW w:type="dxa" w:w="780"/>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Deliv.</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Risk</w:t>
            </w:r>
          </w:p>
        </w:tc>
      </w:tr>
      <w:tr>
        <w:trPr>
          <w:cantSplit/>
        </w:trPr>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W1</w:t>
            </w:r>
          </w:p>
        </w:tc>
        <w:tc>
          <w:tcPr>
            <w:tcW w:type="dxa" w:w="1268"/>
            <w:tcMar>
              <w:top w:type="dxa" w:w="50"/>
              <w:left w:type="dxa" w:w="80"/>
              <w:bottom w:type="dxa" w:w="50"/>
              <w:right w:type="dxa" w:w="80"/>
            </w:tcMar>
            <w:vAlign w:val="center"/>
          </w:tcPr>
          <w:p>
            <w:pPr>
              <w:spacing w:after="0" w:line="240"/>
            </w:pPr>
            <w:r>
              <w:rPr>
                <w:rFonts w:ascii="Arial" w:cs="Arial" w:eastAsia="Arial" w:hAnsi="Arial"/>
                <w:sz w:val="15"/>
                <w:szCs w:val="15"/>
              </w:rPr>
              <w:t xml:space="preserve">7-13 Nov</w:t>
            </w:r>
          </w:p>
        </w:tc>
        <w:tc>
          <w:tcPr>
            <w:tcW w:type="dxa" w:w="3608"/>
            <w:tcMar>
              <w:top w:type="dxa" w:w="50"/>
              <w:left w:type="dxa" w:w="80"/>
              <w:bottom w:type="dxa" w:w="50"/>
              <w:right w:type="dxa" w:w="80"/>
            </w:tcMar>
            <w:vAlign w:val="center"/>
          </w:tcPr>
          <w:p>
            <w:pPr>
              <w:spacing w:after="0" w:line="240"/>
            </w:pPr>
            <w:r>
              <w:rPr>
                <w:rFonts w:ascii="Arial" w:cs="Arial" w:eastAsia="Arial" w:hAnsi="Arial"/>
                <w:sz w:val="15"/>
                <w:szCs w:val="15"/>
              </w:rPr>
              <w:t xml:space="preserve">Data hardening: MHI annexure, operator locators, EV Yatra spot-check, VAHAN reconciliation; PostGIS schema; refresh scripts</w:t>
            </w:r>
          </w:p>
        </w:tc>
        <w:tc>
          <w:tcPr>
            <w:tcW w:type="dxa" w:w="2243"/>
            <w:tcMar>
              <w:top w:type="dxa" w:w="50"/>
              <w:left w:type="dxa" w:w="80"/>
              <w:bottom w:type="dxa" w:w="50"/>
              <w:right w:type="dxa" w:w="80"/>
            </w:tcMar>
            <w:vAlign w:val="center"/>
          </w:tcPr>
          <w:p>
            <w:pPr>
              <w:spacing w:after="0" w:line="240"/>
            </w:pPr>
            <w:r>
              <w:rPr>
                <w:rFonts w:ascii="Arial" w:cs="Arial" w:eastAsia="Arial" w:hAnsi="Arial"/>
                <w:sz w:val="15"/>
                <w:szCs w:val="15"/>
              </w:rPr>
              <w:t xml:space="preserve">Verified charger census; versioned database</w:t>
            </w:r>
          </w:p>
        </w:tc>
        <w:tc>
          <w:tcPr>
            <w:tcW w:type="dxa" w:w="780"/>
            <w:tcMar>
              <w:top w:type="dxa" w:w="50"/>
              <w:left w:type="dxa" w:w="80"/>
              <w:bottom w:type="dxa" w:w="50"/>
              <w:right w:type="dxa" w:w="80"/>
            </w:tcMar>
            <w:vAlign w:val="center"/>
          </w:tcPr>
          <w:p>
            <w:pPr>
              <w:spacing w:after="0" w:line="240"/>
            </w:pPr>
            <w:r>
              <w:rPr>
                <w:rFonts w:ascii="Arial" w:cs="Arial" w:eastAsia="Arial" w:hAnsi="Arial"/>
                <w:sz w:val="15"/>
                <w:szCs w:val="15"/>
              </w:rPr>
              <w:t xml:space="preserve">D3 base</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Operator data blocked</w:t>
            </w:r>
          </w:p>
        </w:tc>
      </w:tr>
      <w:tr>
        <w:trPr>
          <w:cantSplit/>
        </w:trPr>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W2</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14-20 Nov</w:t>
            </w:r>
          </w:p>
        </w:tc>
        <w:tc>
          <w:tcPr>
            <w:tcW w:type="dxa" w:w="360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Gap Index final (H3 + district); hierarchical forecast; charger-need module with DC = max rule for all NHs</w:t>
            </w:r>
          </w:p>
        </w:tc>
        <w:tc>
          <w:tcPr>
            <w:tcW w:type="dxa" w:w="224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Need tables by scenario</w:t>
            </w:r>
          </w:p>
        </w:tc>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D4</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3W forecast error</w:t>
            </w:r>
          </w:p>
        </w:tc>
      </w:tr>
      <w:tr>
        <w:trPr>
          <w:cantSplit/>
        </w:trPr>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W3</w:t>
            </w:r>
          </w:p>
        </w:tc>
        <w:tc>
          <w:tcPr>
            <w:tcW w:type="dxa" w:w="1268"/>
            <w:tcMar>
              <w:top w:type="dxa" w:w="50"/>
              <w:left w:type="dxa" w:w="80"/>
              <w:bottom w:type="dxa" w:w="50"/>
              <w:right w:type="dxa" w:w="80"/>
            </w:tcMar>
            <w:vAlign w:val="center"/>
          </w:tcPr>
          <w:p>
            <w:pPr>
              <w:spacing w:after="0" w:line="240"/>
            </w:pPr>
            <w:r>
              <w:rPr>
                <w:rFonts w:ascii="Arial" w:cs="Arial" w:eastAsia="Arial" w:hAnsi="Arial"/>
                <w:sz w:val="15"/>
                <w:szCs w:val="15"/>
              </w:rPr>
              <w:t xml:space="preserve">21-27 Nov</w:t>
            </w:r>
          </w:p>
        </w:tc>
        <w:tc>
          <w:tcPr>
            <w:tcW w:type="dxa" w:w="3608"/>
            <w:tcMar>
              <w:top w:type="dxa" w:w="50"/>
              <w:left w:type="dxa" w:w="80"/>
              <w:bottom w:type="dxa" w:w="50"/>
              <w:right w:type="dxa" w:w="80"/>
            </w:tcMar>
            <w:vAlign w:val="center"/>
          </w:tcPr>
          <w:p>
            <w:pPr>
              <w:spacing w:after="0" w:line="240"/>
            </w:pPr>
            <w:r>
              <w:rPr>
                <w:rFonts w:ascii="Arial" w:cs="Arial" w:eastAsia="Arial" w:hAnsi="Arial"/>
                <w:sz w:val="15"/>
                <w:szCs w:val="15"/>
              </w:rPr>
              <w:t xml:space="preserve">MCLP siting + substation layer; validation suite (hold-out, PM E-DRIVE overlap, tornado)</w:t>
            </w:r>
          </w:p>
        </w:tc>
        <w:tc>
          <w:tcPr>
            <w:tcW w:type="dxa" w:w="2243"/>
            <w:tcMar>
              <w:top w:type="dxa" w:w="50"/>
              <w:left w:type="dxa" w:w="80"/>
              <w:bottom w:type="dxa" w:w="50"/>
              <w:right w:type="dxa" w:w="80"/>
            </w:tcMar>
            <w:vAlign w:val="center"/>
          </w:tcPr>
          <w:p>
            <w:pPr>
              <w:spacing w:after="0" w:line="240"/>
            </w:pPr>
            <w:r>
              <w:rPr>
                <w:rFonts w:ascii="Arial" w:cs="Arial" w:eastAsia="Arial" w:hAnsi="Arial"/>
                <w:sz w:val="15"/>
                <w:szCs w:val="15"/>
              </w:rPr>
              <w:t xml:space="preserve">Ranked sites; validation report</w:t>
            </w:r>
          </w:p>
        </w:tc>
        <w:tc>
          <w:tcPr>
            <w:tcW w:type="dxa" w:w="780"/>
            <w:tcMar>
              <w:top w:type="dxa" w:w="50"/>
              <w:left w:type="dxa" w:w="80"/>
              <w:bottom w:type="dxa" w:w="50"/>
              <w:right w:type="dxa" w:w="80"/>
            </w:tcMar>
            <w:vAlign w:val="center"/>
          </w:tcPr>
          <w:p>
            <w:pPr>
              <w:spacing w:after="0" w:line="240"/>
            </w:pPr>
            <w:r>
              <w:rPr>
                <w:rFonts w:ascii="Arial" w:cs="Arial" w:eastAsia="Arial" w:hAnsi="Arial"/>
                <w:sz w:val="15"/>
                <w:szCs w:val="15"/>
              </w:rPr>
              <w:t xml:space="preserve">D2, D4</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Solver time</w:t>
            </w:r>
          </w:p>
        </w:tc>
      </w:tr>
      <w:tr>
        <w:trPr>
          <w:cantSplit/>
        </w:trPr>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W4</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28 Nov-4 Dec</w:t>
            </w:r>
          </w:p>
        </w:tc>
        <w:tc>
          <w:tcPr>
            <w:tcW w:type="dxa" w:w="360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FastAPI endpoints; React + Leaflet map; dashboard with scenario switches and downloads</w:t>
            </w:r>
          </w:p>
        </w:tc>
        <w:tc>
          <w:tcPr>
            <w:tcW w:type="dxa" w:w="224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Working web platform</w:t>
            </w:r>
          </w:p>
        </w:tc>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D1, D2, D5</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Front-end slip</w:t>
            </w:r>
          </w:p>
        </w:tc>
      </w:tr>
      <w:tr>
        <w:trPr>
          <w:cantSplit/>
        </w:trPr>
        <w:tc>
          <w:tcPr>
            <w:tcW w:type="dxa" w:w="878"/>
            <w:tcMar>
              <w:top w:type="dxa" w:w="50"/>
              <w:left w:type="dxa" w:w="80"/>
              <w:bottom w:type="dxa" w:w="50"/>
              <w:right w:type="dxa" w:w="80"/>
            </w:tcMar>
            <w:vAlign w:val="center"/>
          </w:tcPr>
          <w:p>
            <w:pPr>
              <w:spacing w:after="0" w:line="240"/>
            </w:pPr>
            <w:r>
              <w:rPr>
                <w:rFonts w:ascii="Arial" w:cs="Arial" w:eastAsia="Arial" w:hAnsi="Arial"/>
                <w:sz w:val="15"/>
                <w:szCs w:val="15"/>
              </w:rPr>
              <w:t xml:space="preserve">W5</w:t>
            </w:r>
          </w:p>
        </w:tc>
        <w:tc>
          <w:tcPr>
            <w:tcW w:type="dxa" w:w="1268"/>
            <w:tcMar>
              <w:top w:type="dxa" w:w="50"/>
              <w:left w:type="dxa" w:w="80"/>
              <w:bottom w:type="dxa" w:w="50"/>
              <w:right w:type="dxa" w:w="80"/>
            </w:tcMar>
            <w:vAlign w:val="center"/>
          </w:tcPr>
          <w:p>
            <w:pPr>
              <w:spacing w:after="0" w:line="240"/>
            </w:pPr>
            <w:r>
              <w:rPr>
                <w:rFonts w:ascii="Arial" w:cs="Arial" w:eastAsia="Arial" w:hAnsi="Arial"/>
                <w:sz w:val="15"/>
                <w:szCs w:val="15"/>
              </w:rPr>
              <w:t xml:space="preserve">5-11 Dec</w:t>
            </w:r>
          </w:p>
        </w:tc>
        <w:tc>
          <w:tcPr>
            <w:tcW w:type="dxa" w:w="3608"/>
            <w:tcMar>
              <w:top w:type="dxa" w:w="50"/>
              <w:left w:type="dxa" w:w="80"/>
              <w:bottom w:type="dxa" w:w="50"/>
              <w:right w:type="dxa" w:w="80"/>
            </w:tcMar>
            <w:vAlign w:val="center"/>
          </w:tcPr>
          <w:p>
            <w:pPr>
              <w:spacing w:after="0" w:line="240"/>
            </w:pPr>
            <w:r>
              <w:rPr>
                <w:rFonts w:ascii="Arial" w:cs="Arial" w:eastAsia="Arial" w:hAnsi="Arial"/>
                <w:sz w:val="15"/>
                <w:szCs w:val="15"/>
              </w:rPr>
              <w:t xml:space="preserve">Karnataka run (scalability test); final methodology document; scalability roadmap</w:t>
            </w:r>
          </w:p>
        </w:tc>
        <w:tc>
          <w:tcPr>
            <w:tcW w:type="dxa" w:w="2243"/>
            <w:tcMar>
              <w:top w:type="dxa" w:w="50"/>
              <w:left w:type="dxa" w:w="80"/>
              <w:bottom w:type="dxa" w:w="50"/>
              <w:right w:type="dxa" w:w="80"/>
            </w:tcMar>
            <w:vAlign w:val="center"/>
          </w:tcPr>
          <w:p>
            <w:pPr>
              <w:spacing w:after="0" w:line="240"/>
            </w:pPr>
            <w:r>
              <w:rPr>
                <w:rFonts w:ascii="Arial" w:cs="Arial" w:eastAsia="Arial" w:hAnsi="Arial"/>
                <w:sz w:val="15"/>
                <w:szCs w:val="15"/>
              </w:rPr>
              <w:t xml:space="preserve">Two-state platform; documents</w:t>
            </w:r>
          </w:p>
        </w:tc>
        <w:tc>
          <w:tcPr>
            <w:tcW w:type="dxa" w:w="780"/>
            <w:tcMar>
              <w:top w:type="dxa" w:w="50"/>
              <w:left w:type="dxa" w:w="80"/>
              <w:bottom w:type="dxa" w:w="50"/>
              <w:right w:type="dxa" w:w="80"/>
            </w:tcMar>
            <w:vAlign w:val="center"/>
          </w:tcPr>
          <w:p>
            <w:pPr>
              <w:spacing w:after="0" w:line="240"/>
            </w:pPr>
            <w:r>
              <w:rPr>
                <w:rFonts w:ascii="Arial" w:cs="Arial" w:eastAsia="Arial" w:hAnsi="Arial"/>
                <w:sz w:val="15"/>
                <w:szCs w:val="15"/>
              </w:rPr>
              <w:t xml:space="preserve">D3, D7</w:t>
            </w:r>
          </w:p>
        </w:tc>
        <w:tc>
          <w:tcPr>
            <w:tcW w:type="dxa" w:w="975"/>
            <w:tcMar>
              <w:top w:type="dxa" w:w="50"/>
              <w:left w:type="dxa" w:w="80"/>
              <w:bottom w:type="dxa" w:w="50"/>
              <w:right w:type="dxa" w:w="80"/>
            </w:tcMar>
            <w:vAlign w:val="center"/>
          </w:tcPr>
          <w:p>
            <w:pPr>
              <w:spacing w:after="0" w:line="240"/>
            </w:pPr>
            <w:r>
              <w:rPr>
                <w:rFonts w:ascii="Arial" w:cs="Arial" w:eastAsia="Arial" w:hAnsi="Arial"/>
                <w:sz w:val="15"/>
                <w:szCs w:val="15"/>
              </w:rPr>
              <w:t xml:space="preserve">Karnataka data gaps</w:t>
            </w:r>
          </w:p>
        </w:tc>
      </w:tr>
      <w:tr>
        <w:trPr>
          <w:cantSplit/>
        </w:trPr>
        <w:tc>
          <w:tcPr>
            <w:tcW w:type="dxa" w:w="87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W6</w:t>
            </w:r>
          </w:p>
        </w:tc>
        <w:tc>
          <w:tcPr>
            <w:tcW w:type="dxa" w:w="126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12-15 Dec</w:t>
            </w:r>
          </w:p>
        </w:tc>
        <w:tc>
          <w:tcPr>
            <w:tcW w:type="dxa" w:w="3608"/>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Demo video; buffer; rehearsal; finale 16-18 Dec</w:t>
            </w:r>
          </w:p>
        </w:tc>
        <w:tc>
          <w:tcPr>
            <w:tcW w:type="dxa" w:w="2243"/>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Video; final deck</w:t>
            </w:r>
          </w:p>
        </w:tc>
        <w:tc>
          <w:tcPr>
            <w:tcW w:type="dxa" w:w="780"/>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D6</w:t>
            </w:r>
          </w:p>
        </w:tc>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None (buffer)</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975"/>
        <w:gridCol w:w="4388"/>
        <w:gridCol w:w="4389"/>
      </w:tblGrid>
      <w:tr>
        <w:trPr>
          <w:cantSplit/>
          <w:tblHeader/>
        </w:trPr>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Week</w:t>
            </w:r>
          </w:p>
        </w:tc>
        <w:tc>
          <w:tcPr>
            <w:tcW w:type="dxa" w:w="4388"/>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Go / no-go milestone</w:t>
            </w:r>
          </w:p>
        </w:tc>
        <w:tc>
          <w:tcPr>
            <w:tcW w:type="dxa" w:w="4389"/>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Fallback if missed</w:t>
            </w:r>
          </w:p>
        </w:tc>
      </w:tr>
      <w:tr>
        <w:trPr>
          <w:cantSplit/>
        </w:trPr>
        <w:tc>
          <w:tcPr>
            <w:tcW w:type="dxa" w:w="975"/>
            <w:tcMar>
              <w:top w:type="dxa" w:w="50"/>
              <w:left w:type="dxa" w:w="80"/>
              <w:bottom w:type="dxa" w:w="50"/>
              <w:right w:type="dxa" w:w="80"/>
            </w:tcMar>
            <w:vAlign w:val="center"/>
          </w:tcPr>
          <w:p>
            <w:pPr>
              <w:spacing w:after="0" w:line="240"/>
            </w:pPr>
            <w:r>
              <w:rPr>
                <w:rFonts w:ascii="Arial" w:cs="Arial" w:eastAsia="Arial" w:hAnsi="Arial"/>
                <w:sz w:val="16"/>
                <w:szCs w:val="16"/>
              </w:rPr>
              <w:t xml:space="preserve">W1</w:t>
            </w:r>
          </w:p>
        </w:tc>
        <w:tc>
          <w:tcPr>
            <w:tcW w:type="dxa" w:w="4388"/>
            <w:tcMar>
              <w:top w:type="dxa" w:w="50"/>
              <w:left w:type="dxa" w:w="80"/>
              <w:bottom w:type="dxa" w:w="50"/>
              <w:right w:type="dxa" w:w="80"/>
            </w:tcMar>
            <w:vAlign w:val="center"/>
          </w:tcPr>
          <w:p>
            <w:pPr>
              <w:spacing w:after="0" w:line="240"/>
            </w:pPr>
            <w:r>
              <w:rPr>
                <w:rFonts w:ascii="Arial" w:cs="Arial" w:eastAsia="Arial" w:hAnsi="Arial"/>
                <w:sz w:val="16"/>
                <w:szCs w:val="16"/>
              </w:rPr>
              <w:t xml:space="preserve">Charger census ≥ 60% of official Odisha count; VAHAN gap explained</w:t>
            </w:r>
          </w:p>
        </w:tc>
        <w:tc>
          <w:tcPr>
            <w:tcW w:type="dxa" w:w="4389"/>
            <w:tcMar>
              <w:top w:type="dxa" w:w="50"/>
              <w:left w:type="dxa" w:w="80"/>
              <w:bottom w:type="dxa" w:w="50"/>
              <w:right w:type="dxa" w:w="80"/>
            </w:tcMar>
            <w:vAlign w:val="center"/>
          </w:tcPr>
          <w:p>
            <w:pPr>
              <w:spacing w:after="0" w:line="240"/>
            </w:pPr>
            <w:r>
              <w:rPr>
                <w:rFonts w:ascii="Arial" w:cs="Arial" w:eastAsia="Arial" w:hAnsi="Arial"/>
                <w:sz w:val="16"/>
                <w:szCs w:val="16"/>
              </w:rPr>
              <w:t xml:space="preserve">Keep completeness scaling + confidence flags</w:t>
            </w:r>
          </w:p>
        </w:tc>
      </w:tr>
      <w:tr>
        <w:trPr>
          <w:cantSplit/>
        </w:trPr>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W2</w:t>
            </w:r>
          </w:p>
        </w:tc>
        <w:tc>
          <w:tcPr>
            <w:tcW w:type="dxa" w:w="438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Need module reproduces Phase 3 totals; H3 index computed</w:t>
            </w:r>
          </w:p>
        </w:tc>
        <w:tc>
          <w:tcPr>
            <w:tcW w:type="dxa" w:w="4389"/>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District-only index</w:t>
            </w:r>
          </w:p>
        </w:tc>
      </w:tr>
      <w:tr>
        <w:trPr>
          <w:cantSplit/>
        </w:trPr>
        <w:tc>
          <w:tcPr>
            <w:tcW w:type="dxa" w:w="975"/>
            <w:tcMar>
              <w:top w:type="dxa" w:w="50"/>
              <w:left w:type="dxa" w:w="80"/>
              <w:bottom w:type="dxa" w:w="50"/>
              <w:right w:type="dxa" w:w="80"/>
            </w:tcMar>
            <w:vAlign w:val="center"/>
          </w:tcPr>
          <w:p>
            <w:pPr>
              <w:spacing w:after="0" w:line="240"/>
            </w:pPr>
            <w:r>
              <w:rPr>
                <w:rFonts w:ascii="Arial" w:cs="Arial" w:eastAsia="Arial" w:hAnsi="Arial"/>
                <w:sz w:val="16"/>
                <w:szCs w:val="16"/>
              </w:rPr>
              <w:t xml:space="preserve">W3</w:t>
            </w:r>
          </w:p>
        </w:tc>
        <w:tc>
          <w:tcPr>
            <w:tcW w:type="dxa" w:w="4388"/>
            <w:tcMar>
              <w:top w:type="dxa" w:w="50"/>
              <w:left w:type="dxa" w:w="80"/>
              <w:bottom w:type="dxa" w:w="50"/>
              <w:right w:type="dxa" w:w="80"/>
            </w:tcMar>
            <w:vAlign w:val="center"/>
          </w:tcPr>
          <w:p>
            <w:pPr>
              <w:spacing w:after="0" w:line="240"/>
            </w:pPr>
            <w:r>
              <w:rPr>
                <w:rFonts w:ascii="Arial" w:cs="Arial" w:eastAsia="Arial" w:hAnsi="Arial"/>
                <w:sz w:val="16"/>
                <w:szCs w:val="16"/>
              </w:rPr>
              <w:t xml:space="preserve">MCLP solves Odisha in &lt; 5 min</w:t>
            </w:r>
          </w:p>
        </w:tc>
        <w:tc>
          <w:tcPr>
            <w:tcW w:type="dxa" w:w="4389"/>
            <w:tcMar>
              <w:top w:type="dxa" w:w="50"/>
              <w:left w:type="dxa" w:w="80"/>
              <w:bottom w:type="dxa" w:w="50"/>
              <w:right w:type="dxa" w:w="80"/>
            </w:tcMar>
            <w:vAlign w:val="center"/>
          </w:tcPr>
          <w:p>
            <w:pPr>
              <w:spacing w:after="0" w:line="240"/>
            </w:pPr>
            <w:r>
              <w:rPr>
                <w:rFonts w:ascii="Arial" w:cs="Arial" w:eastAsia="Arial" w:hAnsi="Arial"/>
                <w:sz w:val="16"/>
                <w:szCs w:val="16"/>
              </w:rPr>
              <w:t xml:space="preserve">Greedy siting (≥ 63% of optimum)</w:t>
            </w:r>
          </w:p>
        </w:tc>
      </w:tr>
      <w:tr>
        <w:trPr>
          <w:cantSplit/>
        </w:trPr>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W4</w:t>
            </w:r>
          </w:p>
        </w:tc>
        <w:tc>
          <w:tcPr>
            <w:tcW w:type="dxa" w:w="438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Map + 3 dashboard views live on laptop</w:t>
            </w:r>
          </w:p>
        </w:tc>
        <w:tc>
          <w:tcPr>
            <w:tcW w:type="dxa" w:w="4389"/>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Streamlit dashboard</w:t>
            </w:r>
          </w:p>
        </w:tc>
      </w:tr>
      <w:tr>
        <w:trPr>
          <w:cantSplit/>
        </w:trPr>
        <w:tc>
          <w:tcPr>
            <w:tcW w:type="dxa" w:w="975"/>
            <w:tcMar>
              <w:top w:type="dxa" w:w="50"/>
              <w:left w:type="dxa" w:w="80"/>
              <w:bottom w:type="dxa" w:w="50"/>
              <w:right w:type="dxa" w:w="80"/>
            </w:tcMar>
            <w:vAlign w:val="center"/>
          </w:tcPr>
          <w:p>
            <w:pPr>
              <w:spacing w:after="0" w:line="240"/>
            </w:pPr>
            <w:r>
              <w:rPr>
                <w:rFonts w:ascii="Arial" w:cs="Arial" w:eastAsia="Arial" w:hAnsi="Arial"/>
                <w:sz w:val="16"/>
                <w:szCs w:val="16"/>
              </w:rPr>
              <w:t xml:space="preserve">W5</w:t>
            </w:r>
          </w:p>
        </w:tc>
        <w:tc>
          <w:tcPr>
            <w:tcW w:type="dxa" w:w="4388"/>
            <w:tcMar>
              <w:top w:type="dxa" w:w="50"/>
              <w:left w:type="dxa" w:w="80"/>
              <w:bottom w:type="dxa" w:w="50"/>
              <w:right w:type="dxa" w:w="80"/>
            </w:tcMar>
            <w:vAlign w:val="center"/>
          </w:tcPr>
          <w:p>
            <w:pPr>
              <w:spacing w:after="0" w:line="240"/>
            </w:pPr>
            <w:r>
              <w:rPr>
                <w:rFonts w:ascii="Arial" w:cs="Arial" w:eastAsia="Arial" w:hAnsi="Arial"/>
                <w:sz w:val="16"/>
                <w:szCs w:val="16"/>
              </w:rPr>
              <w:t xml:space="preserve">Karnataka pipeline runs without code changes</w:t>
            </w:r>
          </w:p>
        </w:tc>
        <w:tc>
          <w:tcPr>
            <w:tcW w:type="dxa" w:w="4389"/>
            <w:tcMar>
              <w:top w:type="dxa" w:w="50"/>
              <w:left w:type="dxa" w:w="80"/>
              <w:bottom w:type="dxa" w:w="50"/>
              <w:right w:type="dxa" w:w="80"/>
            </w:tcMar>
            <w:vAlign w:val="center"/>
          </w:tcPr>
          <w:p>
            <w:pPr>
              <w:spacing w:after="0" w:line="240"/>
            </w:pPr>
            <w:r>
              <w:rPr>
                <w:rFonts w:ascii="Arial" w:cs="Arial" w:eastAsia="Arial" w:hAnsi="Arial"/>
                <w:sz w:val="16"/>
                <w:szCs w:val="16"/>
              </w:rPr>
              <w:t xml:space="preserve">State-level Karnataka benchmark only</w:t>
            </w:r>
          </w:p>
        </w:tc>
      </w:tr>
      <w:tr>
        <w:trPr>
          <w:cantSplit/>
        </w:trPr>
        <w:tc>
          <w:tcPr>
            <w:tcW w:type="dxa" w:w="97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W6</w:t>
            </w:r>
          </w:p>
        </w:tc>
        <w:tc>
          <w:tcPr>
            <w:tcW w:type="dxa" w:w="4388"/>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Demo video recorded</w:t>
            </w:r>
          </w:p>
        </w:tc>
        <w:tc>
          <w:tcPr>
            <w:tcW w:type="dxa" w:w="4389"/>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Live demo script only</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901"/>
        <w:gridCol w:w="975"/>
        <w:gridCol w:w="975"/>
        <w:gridCol w:w="975"/>
        <w:gridCol w:w="975"/>
        <w:gridCol w:w="975"/>
        <w:gridCol w:w="976"/>
      </w:tblGrid>
      <w:tr>
        <w:trPr>
          <w:cantSplit/>
          <w:tblHeader/>
        </w:trPr>
        <w:tc>
          <w:tcPr>
            <w:tcW w:type="dxa" w:w="390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Workstream</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W1</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W2</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W3</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W4</w:t>
            </w:r>
          </w:p>
        </w:tc>
        <w:tc>
          <w:tcPr>
            <w:tcW w:type="dxa" w:w="97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W5</w:t>
            </w:r>
          </w:p>
        </w:tc>
        <w:tc>
          <w:tcPr>
            <w:tcW w:type="dxa" w:w="97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W6</w:t>
            </w:r>
          </w:p>
        </w:tc>
      </w:tr>
      <w:tr>
        <w:trPr>
          <w:cantSplit/>
        </w:trPr>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Data hardening and database</w:t>
            </w:r>
          </w:p>
        </w:tc>
        <w:tc>
          <w:tcPr>
            <w:tcW w:type="dxa" w:w="975"/>
            <w:shd w:fill="9DC3E6" w:color="auto" w:val="clear"/>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6"/>
            <w:tcMar>
              <w:top w:type="dxa" w:w="50"/>
              <w:left w:type="dxa" w:w="80"/>
              <w:bottom w:type="dxa" w:w="50"/>
              <w:right w:type="dxa" w:w="80"/>
            </w:tcMar>
            <w:vAlign w:val="center"/>
          </w:tcPr>
          <w:p>
            <w:pPr>
              <w:spacing w:after="0" w:line="240"/>
            </w:pPr>
          </w:p>
        </w:tc>
      </w:tr>
      <w:tr>
        <w:trPr>
          <w:cantSplit/>
        </w:trPr>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Gap Index, forecast, need (D4)</w:t>
            </w: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6"/>
            <w:shd w:fill="F3F6FA" w:color="auto" w:val="clear"/>
            <w:tcMar>
              <w:top w:type="dxa" w:w="50"/>
              <w:left w:type="dxa" w:w="80"/>
              <w:bottom w:type="dxa" w:w="50"/>
              <w:right w:type="dxa" w:w="80"/>
            </w:tcMar>
            <w:vAlign w:val="center"/>
          </w:tcPr>
          <w:p>
            <w:pPr>
              <w:spacing w:after="0" w:line="240"/>
            </w:pPr>
          </w:p>
        </w:tc>
      </w:tr>
      <w:tr>
        <w:trPr>
          <w:cantSplit/>
        </w:trPr>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Siting and validation</w:t>
            </w: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6"/>
            <w:tcMar>
              <w:top w:type="dxa" w:w="50"/>
              <w:left w:type="dxa" w:w="80"/>
              <w:bottom w:type="dxa" w:w="50"/>
              <w:right w:type="dxa" w:w="80"/>
            </w:tcMar>
            <w:vAlign w:val="center"/>
          </w:tcPr>
          <w:p>
            <w:pPr>
              <w:spacing w:after="0" w:line="240"/>
            </w:pPr>
          </w:p>
        </w:tc>
      </w:tr>
      <w:tr>
        <w:trPr>
          <w:cantSplit/>
        </w:trPr>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Web platform, map, dashboard (D1, D2, D5)</w:t>
            </w: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6"/>
            <w:shd w:fill="F3F6FA" w:color="auto" w:val="clear"/>
            <w:tcMar>
              <w:top w:type="dxa" w:w="50"/>
              <w:left w:type="dxa" w:w="80"/>
              <w:bottom w:type="dxa" w:w="50"/>
              <w:right w:type="dxa" w:w="80"/>
            </w:tcMar>
            <w:vAlign w:val="center"/>
          </w:tcPr>
          <w:p>
            <w:pPr>
              <w:spacing w:after="0" w:line="240"/>
            </w:pPr>
          </w:p>
        </w:tc>
      </w:tr>
      <w:tr>
        <w:trPr>
          <w:cantSplit/>
        </w:trPr>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Karnataka run, documents (D3, D7)</w:t>
            </w: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tcMar>
              <w:top w:type="dxa" w:w="50"/>
              <w:left w:type="dxa" w:w="80"/>
              <w:bottom w:type="dxa" w:w="50"/>
              <w:right w:type="dxa" w:w="80"/>
            </w:tcMar>
            <w:vAlign w:val="center"/>
          </w:tcPr>
          <w:p>
            <w:pPr>
              <w:spacing w:after="0" w:line="240"/>
            </w:pPr>
          </w:p>
        </w:tc>
        <w:tc>
          <w:tcPr>
            <w:tcW w:type="dxa" w:w="975"/>
            <w:shd w:fill="9DC3E6" w:color="auto" w:val="clear"/>
            <w:tcMar>
              <w:top w:type="dxa" w:w="50"/>
              <w:left w:type="dxa" w:w="80"/>
              <w:bottom w:type="dxa" w:w="50"/>
              <w:right w:type="dxa" w:w="80"/>
            </w:tcMar>
            <w:vAlign w:val="center"/>
          </w:tcPr>
          <w:p>
            <w:pPr>
              <w:spacing w:after="0" w:line="240"/>
            </w:pPr>
          </w:p>
        </w:tc>
        <w:tc>
          <w:tcPr>
            <w:tcW w:type="dxa" w:w="976"/>
            <w:tcMar>
              <w:top w:type="dxa" w:w="50"/>
              <w:left w:type="dxa" w:w="80"/>
              <w:bottom w:type="dxa" w:w="50"/>
              <w:right w:type="dxa" w:w="80"/>
            </w:tcMar>
            <w:vAlign w:val="center"/>
          </w:tcPr>
          <w:p>
            <w:pPr>
              <w:spacing w:after="0" w:line="240"/>
            </w:pPr>
          </w:p>
        </w:tc>
      </w:tr>
      <w:tr>
        <w:trPr>
          <w:cantSplit/>
        </w:trPr>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Demo video (D6), rehearsal</w:t>
            </w: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5"/>
            <w:shd w:fill="F3F6FA" w:color="auto" w:val="clear"/>
            <w:tcMar>
              <w:top w:type="dxa" w:w="50"/>
              <w:left w:type="dxa" w:w="80"/>
              <w:bottom w:type="dxa" w:w="50"/>
              <w:right w:type="dxa" w:w="80"/>
            </w:tcMar>
            <w:vAlign w:val="center"/>
          </w:tcPr>
          <w:p>
            <w:pPr>
              <w:spacing w:after="0" w:line="240"/>
            </w:pPr>
          </w:p>
        </w:tc>
        <w:tc>
          <w:tcPr>
            <w:tcW w:type="dxa" w:w="976"/>
            <w:shd w:fill="9DC3E6" w:color="auto" w:val="clear"/>
            <w:tcMar>
              <w:top w:type="dxa" w:w="50"/>
              <w:left w:type="dxa" w:w="80"/>
              <w:bottom w:type="dxa" w:w="50"/>
              <w:right w:type="dxa" w:w="80"/>
            </w:tcMar>
            <w:vAlign w:val="center"/>
          </w:tcPr>
          <w:p>
            <w:pPr>
              <w:spacing w:after="0" w:line="240"/>
            </w:pPr>
          </w:p>
        </w:tc>
      </w:tr>
    </w:tbl>
    <w:p>
      <w:pPr>
        <w:spacing w:after="80"/>
      </w:pPr>
    </w:p>
    <w:p>
      <w:pPr>
        <w:pStyle w:val="Heading1"/>
        <w:keepNext/>
        <w:spacing w:after="100" w:before="200"/>
      </w:pPr>
      <w:r>
        <w:t xml:space="preserve">15. Assumptions, risks and mitigations</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145"/>
        <w:gridCol w:w="1755"/>
        <w:gridCol w:w="2926"/>
        <w:gridCol w:w="2926"/>
      </w:tblGrid>
      <w:tr>
        <w:trPr>
          <w:cantSplit/>
          <w:tblHeader/>
        </w:trPr>
        <w:tc>
          <w:tcPr>
            <w:tcW w:type="dxa" w:w="214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Item</w:t>
            </w:r>
          </w:p>
        </w:tc>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Value used</w:t>
            </w:r>
          </w:p>
        </w:tc>
        <w:tc>
          <w:tcPr>
            <w:tcW w:type="dxa" w:w="292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Stress test</w:t>
            </w:r>
          </w:p>
        </w:tc>
        <w:tc>
          <w:tcPr>
            <w:tcW w:type="dxa" w:w="292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5"/>
                <w:szCs w:val="15"/>
              </w:rPr>
              <w:t xml:space="preserve">Round 2 fix</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5"/>
                <w:szCs w:val="15"/>
              </w:rPr>
              <w:t xml:space="preserve">Charger completeness</w:t>
            </w:r>
          </w:p>
        </w:tc>
        <w:tc>
          <w:tcPr>
            <w:tcW w:type="dxa" w:w="1755"/>
            <w:tcMar>
              <w:top w:type="dxa" w:w="50"/>
              <w:left w:type="dxa" w:w="80"/>
              <w:bottom w:type="dxa" w:w="50"/>
              <w:right w:type="dxa" w:w="80"/>
            </w:tcMar>
            <w:vAlign w:val="center"/>
          </w:tcPr>
          <w:p>
            <w:pPr>
              <w:spacing w:after="0" w:line="240"/>
            </w:pPr>
            <w:r>
              <w:rPr>
                <w:rFonts w:ascii="Arial" w:cs="Arial" w:eastAsia="Arial" w:hAnsi="Arial"/>
                <w:sz w:val="15"/>
                <w:szCs w:val="15"/>
              </w:rPr>
              <w:t xml:space="preserve">Odisha 38%, Karnataka 6%</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GI_obs vs GI_scaled (max rank change 5); missing chargers may cluster in cities, so Access is an upper bound</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Operator locators; EV Yatra; MHI annexure</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Odisha official count</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606 stations (unverified)</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Headline 1 shown with ±20% band</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Download MHI / Parliament annexure</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5"/>
                <w:szCs w:val="15"/>
              </w:rPr>
              <w:t xml:space="preserve">VAHAN stock vs state figure</w:t>
            </w:r>
          </w:p>
        </w:tc>
        <w:tc>
          <w:tcPr>
            <w:tcW w:type="dxa" w:w="1755"/>
            <w:tcMar>
              <w:top w:type="dxa" w:w="50"/>
              <w:left w:type="dxa" w:w="80"/>
              <w:bottom w:type="dxa" w:w="50"/>
              <w:right w:type="dxa" w:w="80"/>
            </w:tcMar>
            <w:vAlign w:val="center"/>
          </w:tcPr>
          <w:p>
            <w:pPr>
              <w:spacing w:after="0" w:line="240"/>
            </w:pPr>
            <w:r>
              <w:rPr>
                <w:rFonts w:ascii="Arial" w:cs="Arial" w:eastAsia="Arial" w:hAnsi="Arial"/>
                <w:sz w:val="15"/>
                <w:szCs w:val="15"/>
              </w:rPr>
              <w:t xml:space="preserve">1.64 lakh registrations to FY25 vs 2.19 lakh reported (≈25% lower)</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High-stock variant (×1.25)</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Reconcile with Odisha Transport Dept.</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4W public-charging share</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20% (range 10-35%)</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±30%: top-10 gap districts 9-10/10 stable</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Operator session data</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5"/>
                <w:szCs w:val="15"/>
              </w:rPr>
              <w:t xml:space="preserve">4W share at DC</w:t>
            </w:r>
          </w:p>
        </w:tc>
        <w:tc>
          <w:tcPr>
            <w:tcW w:type="dxa" w:w="1755"/>
            <w:tcMar>
              <w:top w:type="dxa" w:w="50"/>
              <w:left w:type="dxa" w:w="80"/>
              <w:bottom w:type="dxa" w:w="50"/>
              <w:right w:type="dxa" w:w="80"/>
            </w:tcMar>
            <w:vAlign w:val="center"/>
          </w:tcPr>
          <w:p>
            <w:pPr>
              <w:spacing w:after="0" w:line="240"/>
            </w:pPr>
            <w:r>
              <w:rPr>
                <w:rFonts w:ascii="Arial" w:cs="Arial" w:eastAsia="Arial" w:hAnsi="Arial"/>
                <w:sz w:val="15"/>
                <w:szCs w:val="15"/>
              </w:rPr>
              <w:t xml:space="preserve">60%</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40-80%</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Charge-point operator data</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Utilisation hours</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Light 6 h, DC 4 h</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±30%; 2-8 h range</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Calibrate to observed 1-5% utilisation</w:t>
            </w:r>
          </w:p>
        </w:tc>
      </w:tr>
      <w:tr>
        <w:trPr>
          <w:cantSplit/>
        </w:trPr>
        <w:tc>
          <w:tcPr>
            <w:tcW w:type="dxa" w:w="2145"/>
            <w:tcMar>
              <w:top w:type="dxa" w:w="50"/>
              <w:left w:type="dxa" w:w="80"/>
              <w:bottom w:type="dxa" w:w="50"/>
              <w:right w:type="dxa" w:w="80"/>
            </w:tcMar>
            <w:vAlign w:val="center"/>
          </w:tcPr>
          <w:p>
            <w:pPr>
              <w:spacing w:after="0" w:line="240"/>
            </w:pPr>
            <w:r>
              <w:rPr>
                <w:rFonts w:ascii="Arial" w:cs="Arial" w:eastAsia="Arial" w:hAnsi="Arial"/>
                <w:sz w:val="15"/>
                <w:szCs w:val="15"/>
              </w:rPr>
              <w:t xml:space="preserve">Access threshold</w:t>
            </w:r>
          </w:p>
        </w:tc>
        <w:tc>
          <w:tcPr>
            <w:tcW w:type="dxa" w:w="1755"/>
            <w:tcMar>
              <w:top w:type="dxa" w:w="50"/>
              <w:left w:type="dxa" w:w="80"/>
              <w:bottom w:type="dxa" w:w="50"/>
              <w:right w:type="dxa" w:w="80"/>
            </w:tcMar>
            <w:vAlign w:val="center"/>
          </w:tcPr>
          <w:p>
            <w:pPr>
              <w:spacing w:after="0" w:line="240"/>
            </w:pPr>
            <w:r>
              <w:rPr>
                <w:rFonts w:ascii="Arial" w:cs="Arial" w:eastAsia="Arial" w:hAnsi="Arial"/>
                <w:sz w:val="15"/>
                <w:szCs w:val="15"/>
              </w:rPr>
              <w:t xml:space="preserve">5 km rural, 1 km urban</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3 / 5 / 10 km</w:t>
            </w:r>
          </w:p>
        </w:tc>
        <w:tc>
          <w:tcPr>
            <w:tcW w:type="dxa" w:w="2926"/>
            <w:tcMar>
              <w:top w:type="dxa" w:w="50"/>
              <w:left w:type="dxa" w:w="80"/>
              <w:bottom w:type="dxa" w:w="50"/>
              <w:right w:type="dxa" w:w="80"/>
            </w:tcMar>
            <w:vAlign w:val="center"/>
          </w:tcPr>
          <w:p>
            <w:pPr>
              <w:spacing w:after="0" w:line="240"/>
            </w:pPr>
            <w:r>
              <w:rPr>
                <w:rFonts w:ascii="Arial" w:cs="Arial" w:eastAsia="Arial" w:hAnsi="Arial"/>
                <w:sz w:val="15"/>
                <w:szCs w:val="15"/>
              </w:rPr>
              <w:t xml:space="preserve">Travel-time isochrones</w:t>
            </w:r>
          </w:p>
        </w:tc>
      </w:tr>
      <w:tr>
        <w:trPr>
          <w:cantSplit/>
        </w:trPr>
        <w:tc>
          <w:tcPr>
            <w:tcW w:type="dxa" w:w="214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High scenario</w:t>
            </w:r>
          </w:p>
        </w:tc>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50% EV share by FY30 (draft policy)</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Reported as an upper bound, not a forecast</w:t>
            </w:r>
          </w:p>
        </w:tc>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5"/>
                <w:szCs w:val="15"/>
              </w:rPr>
              <w:t xml:space="preserve">Update when policy is notified</w:t>
            </w:r>
          </w:p>
        </w:tc>
      </w:tr>
    </w:tbl>
    <w:p>
      <w:pPr>
        <w:spacing w:after="80"/>
      </w:pPr>
    </w:p>
    <w:p>
      <w:pPr>
        <w:pStyle w:val="Heading1"/>
        <w:keepNext/>
        <w:spacing w:after="100" w:before="200"/>
      </w:pPr>
      <w:r>
        <w:t xml:space="preserve">16. Innovation and scalability</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3316"/>
        <w:gridCol w:w="6436"/>
      </w:tblGrid>
      <w:tr>
        <w:trPr>
          <w:cantSplit/>
          <w:tblHeader/>
        </w:trPr>
        <w:tc>
          <w:tcPr>
            <w:tcW w:type="dxa" w:w="331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Novel element</w:t>
            </w:r>
          </w:p>
        </w:tc>
        <w:tc>
          <w:tcPr>
            <w:tcW w:type="dxa" w:w="643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Gap it fills in existing platforms</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VAHAN-linked demand by segment (RTO → district → H3)</w:t>
            </w:r>
          </w:p>
        </w:tc>
        <w:tc>
          <w:tcPr>
            <w:tcW w:type="dxa" w:w="6436"/>
            <w:tcMar>
              <w:top w:type="dxa" w:w="50"/>
              <w:left w:type="dxa" w:w="80"/>
              <w:bottom w:type="dxa" w:w="50"/>
              <w:right w:type="dxa" w:w="80"/>
            </w:tcMar>
            <w:vAlign w:val="center"/>
          </w:tcPr>
          <w:p>
            <w:pPr>
              <w:spacing w:after="0" w:line="240"/>
            </w:pPr>
            <w:r>
              <w:rPr>
                <w:rFonts w:ascii="Arial" w:cs="Arial" w:eastAsia="Arial" w:hAnsi="Arial"/>
                <w:sz w:val="16"/>
                <w:szCs w:val="16"/>
              </w:rPr>
              <w:t xml:space="preserve">EV Yatra, OCM and operator apps show supply only; none links chargers to the registered EV fleet</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Norm-compliance measurement (1 km urban; 20 km corridor)</w:t>
            </w:r>
          </w:p>
        </w:tc>
        <w:tc>
          <w:tcPr>
            <w:tcW w:type="dxa" w:w="643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MoP 2024 norms exist but no tool measures them; we report Bhubaneswar 24.6% and 6 NH-16 gaps</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DC need = max(energy, corridor)</w:t>
            </w:r>
          </w:p>
        </w:tc>
        <w:tc>
          <w:tcPr>
            <w:tcW w:type="dxa" w:w="6436"/>
            <w:tcMar>
              <w:top w:type="dxa" w:w="50"/>
              <w:left w:type="dxa" w:w="80"/>
              <w:bottom w:type="dxa" w:w="50"/>
              <w:right w:type="dxa" w:w="80"/>
            </w:tcMar>
            <w:vAlign w:val="center"/>
          </w:tcPr>
          <w:p>
            <w:pPr>
              <w:spacing w:after="0" w:line="240"/>
            </w:pPr>
            <w:r>
              <w:rPr>
                <w:rFonts w:ascii="Arial" w:cs="Arial" w:eastAsia="Arial" w:hAnsi="Arial"/>
                <w:sz w:val="16"/>
                <w:szCs w:val="16"/>
              </w:rPr>
              <w:t xml:space="preserve">Energy-only estimates understate highway DC where cars are few (Odisha: 115 energy-based vs 44 sites on NH-16 alone)</w:t>
            </w:r>
          </w:p>
        </w:tc>
      </w:tr>
      <w:tr>
        <w:trPr>
          <w:cantSplit/>
        </w:trPr>
        <w:tc>
          <w:tcPr>
            <w:tcW w:type="dxa" w:w="331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Grid-aware MCLP with a PM E-DRIVE budget</w:t>
            </w:r>
          </w:p>
        </w:tc>
        <w:tc>
          <w:tcPr>
            <w:tcW w:type="dxa" w:w="643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Academic siting is single-city and ignores grid capacity; ours is budgeted, grid-aware and reproducible</w:t>
            </w:r>
          </w:p>
        </w:tc>
      </w:tr>
      <w:tr>
        <w:trPr>
          <w:cantSplit/>
        </w:trPr>
        <w:tc>
          <w:tcPr>
            <w:tcW w:type="dxa" w:w="3316"/>
            <w:tcMar>
              <w:top w:type="dxa" w:w="50"/>
              <w:left w:type="dxa" w:w="80"/>
              <w:bottom w:type="dxa" w:w="50"/>
              <w:right w:type="dxa" w:w="80"/>
            </w:tcMar>
            <w:vAlign w:val="center"/>
          </w:tcPr>
          <w:p>
            <w:pPr>
              <w:spacing w:after="0" w:line="240"/>
            </w:pPr>
            <w:r>
              <w:rPr>
                <w:rFonts w:ascii="Arial" w:cs="Arial" w:eastAsia="Arial" w:hAnsi="Arial"/>
                <w:sz w:val="16"/>
                <w:szCs w:val="16"/>
              </w:rPr>
              <w:t xml:space="preserve">Transparent scenarios and completeness flags</w:t>
            </w:r>
          </w:p>
        </w:tc>
        <w:tc>
          <w:tcPr>
            <w:tcW w:type="dxa" w:w="6436"/>
            <w:tcMar>
              <w:top w:type="dxa" w:w="50"/>
              <w:left w:type="dxa" w:w="80"/>
              <w:bottom w:type="dxa" w:w="50"/>
              <w:right w:type="dxa" w:w="80"/>
            </w:tcMar>
            <w:vAlign w:val="center"/>
          </w:tcPr>
          <w:p>
            <w:pPr>
              <w:spacing w:after="0" w:line="240"/>
            </w:pPr>
            <w:r>
              <w:rPr>
                <w:rFonts w:ascii="Arial" w:cs="Arial" w:eastAsia="Arial" w:hAnsi="Arial"/>
                <w:sz w:val="16"/>
                <w:szCs w:val="16"/>
              </w:rPr>
              <w:t xml:space="preserve">Official counts differ by up to 2×; every figure here has a source, snapshot date and assumption flag</w:t>
            </w:r>
          </w:p>
        </w:tc>
      </w:tr>
    </w:tbl>
    <w:p>
      <w:pPr>
        <w:spacing w:after="80"/>
      </w:pP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1755"/>
        <w:gridCol w:w="4096"/>
        <w:gridCol w:w="3901"/>
      </w:tblGrid>
      <w:tr>
        <w:trPr>
          <w:cantSplit/>
          <w:tblHeader/>
        </w:trPr>
        <w:tc>
          <w:tcPr>
            <w:tcW w:type="dxa" w:w="175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Stage</w:t>
            </w:r>
          </w:p>
        </w:tc>
        <w:tc>
          <w:tcPr>
            <w:tcW w:type="dxa" w:w="409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Scope</w:t>
            </w:r>
          </w:p>
        </w:tc>
        <w:tc>
          <w:tcPr>
            <w:tcW w:type="dxa" w:w="390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Enabler</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Pilot (Round 2)</w:t>
            </w:r>
          </w:p>
        </w:tc>
        <w:tc>
          <w:tcPr>
            <w:tcW w:type="dxa" w:w="4096"/>
            <w:tcMar>
              <w:top w:type="dxa" w:w="50"/>
              <w:left w:type="dxa" w:w="80"/>
              <w:bottom w:type="dxa" w:w="50"/>
              <w:right w:type="dxa" w:w="80"/>
            </w:tcMar>
            <w:vAlign w:val="center"/>
          </w:tcPr>
          <w:p>
            <w:pPr>
              <w:spacing w:after="0" w:line="240"/>
            </w:pPr>
            <w:r>
              <w:rPr>
                <w:rFonts w:ascii="Arial" w:cs="Arial" w:eastAsia="Arial" w:hAnsi="Arial"/>
                <w:sz w:val="16"/>
                <w:szCs w:val="16"/>
              </w:rPr>
              <w:t xml:space="preserve">Odisha: district + H3, all modules</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Working prototype; open data</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Benchmark</w:t>
            </w:r>
          </w:p>
        </w:tc>
        <w:tc>
          <w:tcPr>
            <w:tcW w:type="dxa" w:w="409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Karnataka with the same code</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One VAHAN query per state per year</w:t>
            </w:r>
          </w:p>
        </w:tc>
      </w:tr>
      <w:tr>
        <w:trPr>
          <w:cantSplit/>
        </w:trPr>
        <w:tc>
          <w:tcPr>
            <w:tcW w:type="dxa" w:w="1755"/>
            <w:tcMar>
              <w:top w:type="dxa" w:w="50"/>
              <w:left w:type="dxa" w:w="80"/>
              <w:bottom w:type="dxa" w:w="50"/>
              <w:right w:type="dxa" w:w="80"/>
            </w:tcMar>
            <w:vAlign w:val="center"/>
          </w:tcPr>
          <w:p>
            <w:pPr>
              <w:spacing w:after="0" w:line="240"/>
            </w:pPr>
            <w:r>
              <w:rPr>
                <w:rFonts w:ascii="Arial" w:cs="Arial" w:eastAsia="Arial" w:hAnsi="Arial"/>
                <w:sz w:val="16"/>
                <w:szCs w:val="16"/>
              </w:rPr>
              <w:t xml:space="preserve">National</w:t>
            </w:r>
          </w:p>
        </w:tc>
        <w:tc>
          <w:tcPr>
            <w:tcW w:type="dxa" w:w="4096"/>
            <w:tcMar>
              <w:top w:type="dxa" w:w="50"/>
              <w:left w:type="dxa" w:w="80"/>
              <w:bottom w:type="dxa" w:w="50"/>
              <w:right w:type="dxa" w:w="80"/>
            </w:tcMar>
            <w:vAlign w:val="center"/>
          </w:tcPr>
          <w:p>
            <w:pPr>
              <w:spacing w:after="0" w:line="240"/>
            </w:pPr>
            <w:r>
              <w:rPr>
                <w:rFonts w:ascii="Arial" w:cs="Arial" w:eastAsia="Arial" w:hAnsi="Arial"/>
                <w:sz w:val="16"/>
                <w:szCs w:val="16"/>
              </w:rPr>
              <w:t xml:space="preserve">All 36 states/UTs</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PostGIS + scheduled refresh; LGD-keyed districts</w:t>
            </w:r>
          </w:p>
        </w:tc>
      </w:tr>
      <w:tr>
        <w:trPr>
          <w:cantSplit/>
        </w:trPr>
        <w:tc>
          <w:tcPr>
            <w:tcW w:type="dxa" w:w="175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Live</w:t>
            </w:r>
          </w:p>
        </w:tc>
        <w:tc>
          <w:tcPr>
            <w:tcW w:type="dxa" w:w="409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Monthly VAHAN, live operator feeds, PM E-DRIVE tracking</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OCPI / EV Yatra integration; NIC hosting</w:t>
            </w:r>
          </w:p>
        </w:tc>
      </w:tr>
    </w:tbl>
    <w:p>
      <w:pPr>
        <w:spacing w:after="80"/>
      </w:pPr>
    </w:p>
    <w:p>
      <w:r>
        <w:br w:type="page"/>
      </w:r>
    </w:p>
    <w:p>
      <w:pPr>
        <w:pStyle w:val="Heading1"/>
        <w:keepNext/>
        <w:spacing w:after="100" w:before="200"/>
      </w:pPr>
      <w:r>
        <w:t xml:space="preserve">A1. Appendix: Sources</w:t>
      </w:r>
    </w:p>
    <w:p>
      <w:pPr>
        <w:spacing w:after="30"/>
      </w:pPr>
      <w:r>
        <w:rPr>
          <w:rFonts w:ascii="Arial" w:cs="Arial" w:eastAsia="Arial" w:hAnsi="Arial"/>
          <w:sz w:val="15"/>
          <w:szCs w:val="15"/>
        </w:rPr>
        <w:t xml:space="preserve">[1] VAHAN 4 Dashboard, MoRTH. https://vahan.parivahan.gov.in/vahan4dashboard/ (read 17 Oct 2026)</w:t>
      </w:r>
    </w:p>
    <w:p>
      <w:pPr>
        <w:spacing w:after="30"/>
      </w:pPr>
      <w:r>
        <w:rPr>
          <w:rFonts w:ascii="Arial" w:cs="Arial" w:eastAsia="Arial" w:hAnsi="Arial"/>
          <w:sz w:val="15"/>
          <w:szCs w:val="15"/>
        </w:rPr>
        <w:t xml:space="preserve">[2] OpenChargeMap per-site export (snapshot 22 Apr 2026). https://github.com/openchargemap/ocm-export</w:t>
      </w:r>
    </w:p>
    <w:p>
      <w:pPr>
        <w:spacing w:after="30"/>
      </w:pPr>
      <w:r>
        <w:rPr>
          <w:rFonts w:ascii="Arial" w:cs="Arial" w:eastAsia="Arial" w:hAnsi="Arial"/>
          <w:sz w:val="15"/>
          <w:szCs w:val="15"/>
        </w:rPr>
        <w:t xml:space="preserve">[3] OpenStreetMap contributors (ODbL), via Overpass API and Geofabrik. https://www.openstreetmap.org</w:t>
      </w:r>
    </w:p>
    <w:p>
      <w:pPr>
        <w:spacing w:after="30"/>
      </w:pPr>
      <w:r>
        <w:rPr>
          <w:rFonts w:ascii="Arial" w:cs="Arial" w:eastAsia="Arial" w:hAnsi="Arial"/>
          <w:sz w:val="15"/>
          <w:szCs w:val="15"/>
        </w:rPr>
        <w:t xml:space="preserve">[4] WorldPop 2020, India 1 km UN-adjusted (CC BY 4.0). https://hub.worldpop.org</w:t>
      </w:r>
    </w:p>
    <w:p>
      <w:pPr>
        <w:spacing w:after="30"/>
      </w:pPr>
      <w:r>
        <w:rPr>
          <w:rFonts w:ascii="Arial" w:cs="Arial" w:eastAsia="Arial" w:hAnsi="Arial"/>
          <w:sz w:val="15"/>
          <w:szCs w:val="15"/>
        </w:rPr>
        <w:t xml:space="preserve">[5] Ministry of Power, Guidelines and Standards for EV Charging Infrastructure, 17 Sep 2024 (as reported by Business Standard, ORF). https://www.business-standard.com/industry/auto/govt-issues-revised-guidelines-for-electric-vehicle-charging-stations-124091900970_1.html</w:t>
      </w:r>
    </w:p>
    <w:p>
      <w:pPr>
        <w:spacing w:after="30"/>
      </w:pPr>
      <w:r>
        <w:rPr>
          <w:rFonts w:ascii="Arial" w:cs="Arial" w:eastAsia="Arial" w:hAnsi="Arial"/>
          <w:sz w:val="15"/>
          <w:szCs w:val="15"/>
        </w:rPr>
        <w:t xml:space="preserve">[6] MHI reply, Rajya Sabha, 7 Aug 2026 (as reported). https://electricalmirror.net/karnataka-ranks-second-in-india-with-6805-ev-charging-stations/</w:t>
      </w:r>
    </w:p>
    <w:p>
      <w:pPr>
        <w:spacing w:after="30"/>
      </w:pPr>
      <w:r>
        <w:rPr>
          <w:rFonts w:ascii="Arial" w:cs="Arial" w:eastAsia="Arial" w:hAnsi="Arial"/>
          <w:sz w:val="15"/>
          <w:szCs w:val="15"/>
        </w:rPr>
        <w:t xml:space="preserve">[7] MHI, Status and Expansion of EV Charging Infrastructure, 27 Mar 2026; Mercom India. https://mercomindia.com/oil-firms-install-27737-ev-chargers-between-fy-2021-fy-2026</w:t>
      </w:r>
    </w:p>
    <w:p>
      <w:pPr>
        <w:spacing w:after="30"/>
      </w:pPr>
      <w:r>
        <w:rPr>
          <w:rFonts w:ascii="Arial" w:cs="Arial" w:eastAsia="Arial" w:hAnsi="Arial"/>
          <w:sz w:val="15"/>
          <w:szCs w:val="15"/>
        </w:rPr>
        <w:t xml:space="preserve">[8] MHI state table, Dec 2025 (via India Data Report; unverified). https://indiadatareport.com/state-wise-ev-charging-stations-india/</w:t>
      </w:r>
    </w:p>
    <w:p>
      <w:pPr>
        <w:spacing w:after="30"/>
      </w:pPr>
      <w:r>
        <w:rPr>
          <w:rFonts w:ascii="Arial" w:cs="Arial" w:eastAsia="Arial" w:hAnsi="Arial"/>
          <w:sz w:val="15"/>
          <w:szCs w:val="15"/>
        </w:rPr>
        <w:t xml:space="preserve">[9] BEE Karnataka count, Aug 2024 (GKToday). https://www.gktoday.in/karnataka-leads-nation-with-5765-public-ev-charging-stations/</w:t>
      </w:r>
    </w:p>
    <w:p>
      <w:pPr>
        <w:spacing w:after="30"/>
      </w:pPr>
      <w:r>
        <w:rPr>
          <w:rFonts w:ascii="Arial" w:cs="Arial" w:eastAsia="Arial" w:hAnsi="Arial"/>
          <w:sz w:val="15"/>
          <w:szCs w:val="15"/>
        </w:rPr>
        <w:t xml:space="preserve">[10] PM E-DRIVE operational guidelines, 72,300 PCS (Free Press Journal). https://www.freepressjournal.in/amp/business/pm-e-drive-scheme-centre-issues-operational-guidelines-for-deployment-of-72300-public-ev-charging-stations-with-2000-crore-outlay</w:t>
      </w:r>
    </w:p>
    <w:p>
      <w:pPr>
        <w:spacing w:after="30"/>
      </w:pPr>
      <w:r>
        <w:rPr>
          <w:rFonts w:ascii="Arial" w:cs="Arial" w:eastAsia="Arial" w:hAnsi="Arial"/>
          <w:sz w:val="15"/>
          <w:szCs w:val="15"/>
        </w:rPr>
        <w:t xml:space="preserve">[11] Odisha PM E-DRIVE approval, 170 PCS (BioEnergy Times). https://bioenergytimes.com/odisha-gets-rs-40-50-crore-under-pm-e-drive-scheme-for-ev-charging-network/</w:t>
      </w:r>
    </w:p>
    <w:p>
      <w:pPr>
        <w:spacing w:after="30"/>
      </w:pPr>
      <w:r>
        <w:rPr>
          <w:rFonts w:ascii="Arial" w:cs="Arial" w:eastAsia="Arial" w:hAnsi="Arial"/>
          <w:sz w:val="15"/>
          <w:szCs w:val="15"/>
        </w:rPr>
        <w:t xml:space="preserve">[12] Draft Odisha EV Policy 2025, Commerce &amp; Transport Dept. https://ct.odisha.gov.in/sites/default/files/2025-09/Draft-Odisha%20EV%20Policy,2025.pdf</w:t>
      </w:r>
    </w:p>
    <w:p>
      <w:pPr>
        <w:spacing w:after="30"/>
      </w:pPr>
      <w:r>
        <w:rPr>
          <w:rFonts w:ascii="Arial" w:cs="Arial" w:eastAsia="Arial" w:hAnsi="Arial"/>
          <w:sz w:val="15"/>
          <w:szCs w:val="15"/>
        </w:rPr>
        <w:t xml:space="preserve">[13] Odisha EV Policy 2021 extension to 31 Dec 2026 (OMMCOM News). https://ommcomnews.com/odisha-news/odisha-extends-electric-vehicle-policy-till-december-31-2026/</w:t>
      </w:r>
    </w:p>
    <w:p>
      <w:pPr>
        <w:spacing w:after="30"/>
      </w:pPr>
      <w:r>
        <w:rPr>
          <w:rFonts w:ascii="Arial" w:cs="Arial" w:eastAsia="Arial" w:hAnsi="Arial"/>
          <w:sz w:val="15"/>
          <w:szCs w:val="15"/>
        </w:rPr>
        <w:t xml:space="preserve">[14] NITI Aayog, NITI Sandhan newsletter Oct 2025 (30% EV sales by 2030). https://www.niti.gov.in/sites/default/files/2025-10/Newsletter-NITI-SandhanOct-25.pdf</w:t>
      </w:r>
    </w:p>
    <w:p>
      <w:pPr>
        <w:spacing w:after="30"/>
      </w:pPr>
      <w:r>
        <w:rPr>
          <w:rFonts w:ascii="Arial" w:cs="Arial" w:eastAsia="Arial" w:hAnsi="Arial"/>
          <w:sz w:val="15"/>
          <w:szCs w:val="15"/>
        </w:rPr>
        <w:t xml:space="preserve">[15] LBNL, Electrical consumption of 2-, 3- and 4-wheel EVs in India. https://emp.lbl.gov/publications/electrical-consumption-two-three-and</w:t>
      </w:r>
    </w:p>
    <w:p>
      <w:pPr>
        <w:spacing w:after="30"/>
      </w:pPr>
      <w:r>
        <w:rPr>
          <w:rFonts w:ascii="Arial" w:cs="Arial" w:eastAsia="Arial" w:hAnsi="Arial"/>
          <w:sz w:val="15"/>
          <w:szCs w:val="15"/>
        </w:rPr>
        <w:t xml:space="preserve">[16] WRI India, economics of electric three-wheelers. https://wri-india.org/blog/busting-cost-barrier-why-electric-three-wheelers-make-business-sense</w:t>
      </w:r>
    </w:p>
    <w:p>
      <w:pPr>
        <w:spacing w:after="30"/>
      </w:pPr>
      <w:r>
        <w:rPr>
          <w:rFonts w:ascii="Arial" w:cs="Arial" w:eastAsia="Arial" w:hAnsi="Arial"/>
          <w:sz w:val="15"/>
          <w:szCs w:val="15"/>
        </w:rPr>
        <w:t xml:space="preserve">[17] Kazam &amp; AEEE, residential EV charging report (EVreporter). https://evreporter.com/kazam-and-aeee-launch-report-on-residential-ev-charging-in-india/</w:t>
      </w:r>
    </w:p>
    <w:p>
      <w:pPr>
        <w:spacing w:after="30"/>
      </w:pPr>
      <w:r>
        <w:rPr>
          <w:rFonts w:ascii="Arial" w:cs="Arial" w:eastAsia="Arial" w:hAnsi="Arial"/>
          <w:sz w:val="15"/>
          <w:szCs w:val="15"/>
        </w:rPr>
        <w:t xml:space="preserve">[18] IRADe, Delhi EV survey and grid impact. https://irade.org/wp-content/uploads/2025/08/IRN-DelhiEVsurveyImpactonGridPaper-1.pdf</w:t>
      </w:r>
    </w:p>
    <w:p>
      <w:pPr>
        <w:spacing w:after="30"/>
      </w:pPr>
      <w:r>
        <w:rPr>
          <w:rFonts w:ascii="Arial" w:cs="Arial" w:eastAsia="Arial" w:hAnsi="Arial"/>
          <w:sz w:val="15"/>
          <w:szCs w:val="15"/>
        </w:rPr>
        <w:t xml:space="preserve">[19] Bolt.Earth charging-session data (Autocar Pro). https://www.autocarpro.in/news/2w-drive-78-percent-of-ev-charging-sessions-pvs-draw-67-percent-power-boltearth-134608</w:t>
      </w:r>
    </w:p>
    <w:p>
      <w:pPr>
        <w:spacing w:after="30"/>
      </w:pPr>
      <w:r>
        <w:rPr>
          <w:rFonts w:ascii="Arial" w:cs="Arial" w:eastAsia="Arial" w:hAnsi="Arial"/>
          <w:sz w:val="15"/>
          <w:szCs w:val="15"/>
        </w:rPr>
        <w:t xml:space="preserve">[20] Ather user km, 2024 (Autocar Pro). https://autocarpro.in/news/ather-reports-239-billion-kilometres-covered-by-its-ev-users-in-2024-124671</w:t>
      </w:r>
    </w:p>
    <w:p>
      <w:pPr>
        <w:spacing w:after="30"/>
      </w:pPr>
      <w:r>
        <w:rPr>
          <w:rFonts w:ascii="Arial" w:cs="Arial" w:eastAsia="Arial" w:hAnsi="Arial"/>
          <w:sz w:val="15"/>
          <w:szCs w:val="15"/>
        </w:rPr>
        <w:t xml:space="preserve">[21] IEA, Global EV Outlook 2026: EV charging. https://www.iea.org/reports/global-ev-outlook-2026/electric-vehicle-charging-chap-6-and-10</w:t>
      </w:r>
    </w:p>
    <w:p>
      <w:pPr>
        <w:spacing w:after="30"/>
      </w:pPr>
      <w:r>
        <w:rPr>
          <w:rFonts w:ascii="Arial" w:cs="Arial" w:eastAsia="Arial" w:hAnsi="Arial"/>
          <w:sz w:val="15"/>
          <w:szCs w:val="15"/>
        </w:rPr>
        <w:t xml:space="preserve">[22] EU AFIR progress (Electrive). https://electrive.com/2026/07/20/only-one-eu-country-misses-afir-charging-target</w:t>
      </w:r>
    </w:p>
    <w:p>
      <w:pPr>
        <w:spacing w:after="30"/>
      </w:pPr>
      <w:r>
        <w:rPr>
          <w:rFonts w:ascii="Arial" w:cs="Arial" w:eastAsia="Arial" w:hAnsi="Arial"/>
          <w:sz w:val="15"/>
          <w:szCs w:val="15"/>
        </w:rPr>
        <w:t xml:space="preserve">[23] Battery Smart daily swaps (Autocar Pro). https://autocarpro.in/news/battery-smart-achieves-1-lakh-daily-swaps-on-its-ev-battery-swapping-network-121925</w:t>
      </w:r>
    </w:p>
    <w:p>
      <w:pPr>
        <w:spacing w:after="30"/>
      </w:pPr>
      <w:r>
        <w:rPr>
          <w:rFonts w:ascii="Arial" w:cs="Arial" w:eastAsia="Arial" w:hAnsi="Arial"/>
          <w:sz w:val="15"/>
          <w:szCs w:val="15"/>
        </w:rPr>
        <w:t xml:space="preserve">[24] Down To Earth, VAHAN data quality. https://www.downtoearth.org.in/air/driving-on-broken-data-why-indias-clean-air-and-ev-push-cannot-outrun-vahans-cracks</w:t>
      </w:r>
    </w:p>
    <w:p>
      <w:pPr>
        <w:spacing w:after="30"/>
      </w:pPr>
      <w:r>
        <w:rPr>
          <w:rFonts w:ascii="Arial" w:cs="Arial" w:eastAsia="Arial" w:hAnsi="Arial"/>
          <w:sz w:val="15"/>
          <w:szCs w:val="15"/>
        </w:rPr>
        <w:t xml:space="preserve">[25] GHSL (JRC) https://ghsl.jrc.ec.europa.eu ; VIIRS night-lights (EOG) https://eogdata.mines.edu/products/vnl/</w:t>
      </w:r>
    </w:p>
    <w:p>
      <w:pPr>
        <w:spacing w:after="30"/>
      </w:pPr>
      <w:r>
        <w:rPr>
          <w:rFonts w:ascii="Arial" w:cs="Arial" w:eastAsia="Arial" w:hAnsi="Arial"/>
          <w:sz w:val="15"/>
          <w:szCs w:val="15"/>
        </w:rPr>
        <w:t xml:space="preserve">[26] Local Government Directory (LGD codes). https://lgdirectory.gov.in</w:t>
      </w:r>
    </w:p>
    <w:p>
      <w:pPr>
        <w:spacing w:after="30"/>
      </w:pPr>
      <w:r>
        <w:rPr>
          <w:rFonts w:ascii="Arial" w:cs="Arial" w:eastAsia="Arial" w:hAnsi="Arial"/>
          <w:sz w:val="15"/>
          <w:szCs w:val="15"/>
        </w:rPr>
        <w:t xml:space="preserve">[27] Odisha EV count, Economic Survey 2025-26 (OdishaBytes). https://odishabytes.com/over-2-19-lakh-evs-on-roads-in-odisha-with-12-charging-stations-in-bhubaneswar/</w:t>
      </w:r>
    </w:p>
    <w:p>
      <w:pPr>
        <w:spacing w:after="80" w:before="60" w:line="264"/>
      </w:pPr>
      <w:r>
        <w:rPr>
          <w:rFonts w:ascii="Arial" w:cs="Arial" w:eastAsia="Arial" w:hAnsi="Arial"/>
          <w:i/>
          <w:iCs/>
          <w:color w:val="444444"/>
          <w:sz w:val="15"/>
          <w:szCs w:val="15"/>
        </w:rPr>
        <w:t xml:space="preserve">Web sources accessed 17 Oct 2026. Data licences: VAHAN (Government open data); OSM (ODbL); OpenChargeMap (per data provider); WorldPop, GHSL, VIIRS (CC BY 4.0).</w:t>
      </w:r>
    </w:p>
    <w:p>
      <w:pPr>
        <w:pStyle w:val="Heading1"/>
        <w:keepNext/>
        <w:spacing w:after="100" w:before="200"/>
      </w:pPr>
      <w:r>
        <w:t xml:space="preserve">A2. Appendix: Synthetic and assumed data register</w:t>
      </w:r>
    </w:p>
    <w:tbl>
      <w:tblPr>
        <w:tblW w:type="dxa" w:w="9752"/>
        <w:tblBorders>
          <w:top w:val="single" w:color="B7C4D1" w:sz="4"/>
          <w:left w:val="single" w:color="B7C4D1" w:sz="4"/>
          <w:bottom w:val="single" w:color="B7C4D1" w:sz="4"/>
          <w:right w:val="single" w:color="B7C4D1" w:sz="4"/>
          <w:insideH w:val="single" w:color="B7C4D1" w:sz="4"/>
          <w:insideV w:val="single" w:color="B7C4D1" w:sz="4"/>
        </w:tblBorders>
        <w:tblLayout w:type="fixed"/>
      </w:tblPr>
      <w:tblGrid>
        <w:gridCol w:w="2926"/>
        <w:gridCol w:w="3901"/>
        <w:gridCol w:w="2925"/>
      </w:tblGrid>
      <w:tr>
        <w:trPr>
          <w:cantSplit/>
          <w:tblHeader/>
        </w:trPr>
        <w:tc>
          <w:tcPr>
            <w:tcW w:type="dxa" w:w="2926"/>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Item</w:t>
            </w:r>
          </w:p>
        </w:tc>
        <w:tc>
          <w:tcPr>
            <w:tcW w:type="dxa" w:w="3901"/>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How it is modelled</w:t>
            </w:r>
          </w:p>
        </w:tc>
        <w:tc>
          <w:tcPr>
            <w:tcW w:type="dxa" w:w="2925"/>
            <w:shd w:fill="1F4E79" w:color="auto" w:val="clear"/>
            <w:tcMar>
              <w:top w:type="dxa" w:w="50"/>
              <w:left w:type="dxa" w:w="80"/>
              <w:bottom w:type="dxa" w:w="50"/>
              <w:right w:type="dxa" w:w="80"/>
            </w:tcMar>
            <w:vAlign w:val="center"/>
          </w:tcPr>
          <w:p>
            <w:pPr>
              <w:spacing w:after="0" w:line="240"/>
            </w:pPr>
            <w:r>
              <w:rPr>
                <w:rFonts w:ascii="Arial" w:cs="Arial" w:eastAsia="Arial" w:hAnsi="Arial"/>
                <w:b/>
                <w:bCs/>
                <w:color w:val="FFFFFF"/>
                <w:sz w:val="16"/>
                <w:szCs w:val="16"/>
              </w:rPr>
              <w:t xml:space="preserve">Label in data</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RTO split for multi-district offices</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Population share of jurisdiction (none needed in Odisha; Chandikhole mapping to be confirmed)</w:t>
            </w:r>
          </w:p>
        </w:tc>
        <w:tc>
          <w:tcPr>
            <w:tcW w:type="dxa" w:w="2925"/>
            <w:tcMar>
              <w:top w:type="dxa" w:w="50"/>
              <w:left w:type="dxa" w:w="80"/>
              <w:bottom w:type="dxa" w:w="50"/>
              <w:right w:type="dxa" w:w="80"/>
            </w:tcMar>
            <w:vAlign w:val="center"/>
          </w:tcPr>
          <w:p>
            <w:pPr>
              <w:spacing w:after="0" w:line="240"/>
            </w:pPr>
            <w:r>
              <w:rPr>
                <w:rFonts w:ascii="Arial" w:cs="Arial" w:eastAsia="Arial" w:hAnsi="Arial"/>
                <w:sz w:val="16"/>
                <w:szCs w:val="16"/>
              </w:rPr>
              <w:t xml:space="preserve">is_assumed</w:t>
            </w:r>
          </w:p>
        </w:tc>
      </w:tr>
      <w:tr>
        <w:trPr>
          <w:cantSplit/>
        </w:trPr>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Cell-level EV demand (H3)</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District EVs × population × night-lights^0.5</w:t>
            </w:r>
          </w:p>
        </w:tc>
        <w:tc>
          <w:tcPr>
            <w:tcW w:type="dxa" w:w="292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is_synthetic</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Charger kW class when missing</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DC connector / operator rule (36 Odisha records)</w:t>
            </w:r>
          </w:p>
        </w:tc>
        <w:tc>
          <w:tcPr>
            <w:tcW w:type="dxa" w:w="2925"/>
            <w:tcMar>
              <w:top w:type="dxa" w:w="50"/>
              <w:left w:type="dxa" w:w="80"/>
              <w:bottom w:type="dxa" w:w="50"/>
              <w:right w:type="dxa" w:w="80"/>
            </w:tcMar>
            <w:vAlign w:val="center"/>
          </w:tcPr>
          <w:p>
            <w:pPr>
              <w:spacing w:after="0" w:line="240"/>
            </w:pPr>
            <w:r>
              <w:rPr>
                <w:rFonts w:ascii="Arial" w:cs="Arial" w:eastAsia="Arial" w:hAnsi="Arial"/>
                <w:sz w:val="16"/>
                <w:szCs w:val="16"/>
              </w:rPr>
              <w:t xml:space="preserve">is_kw_imputed</w:t>
            </w:r>
          </w:p>
        </w:tc>
      </w:tr>
      <w:tr>
        <w:trPr>
          <w:cantSplit/>
        </w:trPr>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Charge points per site when missing</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Median by class (1 point)</w:t>
            </w:r>
          </w:p>
        </w:tc>
        <w:tc>
          <w:tcPr>
            <w:tcW w:type="dxa" w:w="292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is_points_imputed</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Existing chargers scaled to official count</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Observed ÷ completeness (0.38 Odisha)</w:t>
            </w:r>
          </w:p>
        </w:tc>
        <w:tc>
          <w:tcPr>
            <w:tcW w:type="dxa" w:w="2925"/>
            <w:tcMar>
              <w:top w:type="dxa" w:w="50"/>
              <w:left w:type="dxa" w:w="80"/>
              <w:bottom w:type="dxa" w:w="50"/>
              <w:right w:type="dxa" w:w="80"/>
            </w:tcMar>
            <w:vAlign w:val="center"/>
          </w:tcPr>
          <w:p>
            <w:pPr>
              <w:spacing w:after="0" w:line="240"/>
            </w:pPr>
            <w:r>
              <w:rPr>
                <w:rFonts w:ascii="Arial" w:cs="Arial" w:eastAsia="Arial" w:hAnsi="Arial"/>
                <w:sz w:val="16"/>
                <w:szCs w:val="16"/>
              </w:rPr>
              <w:t xml:space="preserve">is_assumed</w:t>
            </w:r>
          </w:p>
        </w:tc>
      </w:tr>
      <w:tr>
        <w:trPr>
          <w:cantSplit/>
        </w:trPr>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Planning parameters without Indian data</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4W km/day; 3W/4W public share; DC share; utilisation; charger kW; attrition</w:t>
            </w:r>
          </w:p>
        </w:tc>
        <w:tc>
          <w:tcPr>
            <w:tcW w:type="dxa" w:w="292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is_assumed (parameter table)</w:t>
            </w:r>
          </w:p>
        </w:tc>
      </w:tr>
      <w:tr>
        <w:trPr>
          <w:cantSplit/>
        </w:trPr>
        <w:tc>
          <w:tcPr>
            <w:tcW w:type="dxa" w:w="2926"/>
            <w:tcMar>
              <w:top w:type="dxa" w:w="50"/>
              <w:left w:type="dxa" w:w="80"/>
              <w:bottom w:type="dxa" w:w="50"/>
              <w:right w:type="dxa" w:w="80"/>
            </w:tcMar>
            <w:vAlign w:val="center"/>
          </w:tcPr>
          <w:p>
            <w:pPr>
              <w:spacing w:after="0" w:line="240"/>
            </w:pPr>
            <w:r>
              <w:rPr>
                <w:rFonts w:ascii="Arial" w:cs="Arial" w:eastAsia="Arial" w:hAnsi="Arial"/>
                <w:sz w:val="16"/>
                <w:szCs w:val="16"/>
              </w:rPr>
              <w:t xml:space="preserve">District allocation of FY30 forecast</w:t>
            </w:r>
          </w:p>
        </w:tc>
        <w:tc>
          <w:tcPr>
            <w:tcW w:type="dxa" w:w="3901"/>
            <w:tcMar>
              <w:top w:type="dxa" w:w="50"/>
              <w:left w:type="dxa" w:w="80"/>
              <w:bottom w:type="dxa" w:w="50"/>
              <w:right w:type="dxa" w:w="80"/>
            </w:tcMar>
            <w:vAlign w:val="center"/>
          </w:tcPr>
          <w:p>
            <w:pPr>
              <w:spacing w:after="0" w:line="240"/>
            </w:pPr>
            <w:r>
              <w:rPr>
                <w:rFonts w:ascii="Arial" w:cs="Arial" w:eastAsia="Arial" w:hAnsi="Arial"/>
                <w:sz w:val="16"/>
                <w:szCs w:val="16"/>
              </w:rPr>
              <w:t xml:space="preserve">FY26 district share per segment</w:t>
            </w:r>
          </w:p>
        </w:tc>
        <w:tc>
          <w:tcPr>
            <w:tcW w:type="dxa" w:w="2925"/>
            <w:tcMar>
              <w:top w:type="dxa" w:w="50"/>
              <w:left w:type="dxa" w:w="80"/>
              <w:bottom w:type="dxa" w:w="50"/>
              <w:right w:type="dxa" w:w="80"/>
            </w:tcMar>
            <w:vAlign w:val="center"/>
          </w:tcPr>
          <w:p>
            <w:pPr>
              <w:spacing w:after="0" w:line="240"/>
            </w:pPr>
            <w:r>
              <w:rPr>
                <w:rFonts w:ascii="Arial" w:cs="Arial" w:eastAsia="Arial" w:hAnsi="Arial"/>
                <w:sz w:val="16"/>
                <w:szCs w:val="16"/>
              </w:rPr>
              <w:t xml:space="preserve">is_assumed</w:t>
            </w:r>
          </w:p>
        </w:tc>
      </w:tr>
      <w:tr>
        <w:trPr>
          <w:cantSplit/>
        </w:trPr>
        <w:tc>
          <w:tcPr>
            <w:tcW w:type="dxa" w:w="2926"/>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Battery-swap capacity</w:t>
            </w:r>
          </w:p>
        </w:tc>
        <w:tc>
          <w:tcPr>
            <w:tcW w:type="dxa" w:w="3901"/>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90 swaps/day × 2 kWh (press-release estimates) [23]</w:t>
            </w:r>
          </w:p>
        </w:tc>
        <w:tc>
          <w:tcPr>
            <w:tcW w:type="dxa" w:w="2925"/>
            <w:shd w:fill="F3F6FA" w:color="auto" w:val="clear"/>
            <w:tcMar>
              <w:top w:type="dxa" w:w="50"/>
              <w:left w:type="dxa" w:w="80"/>
              <w:bottom w:type="dxa" w:w="50"/>
              <w:right w:type="dxa" w:w="80"/>
            </w:tcMar>
            <w:vAlign w:val="center"/>
          </w:tcPr>
          <w:p>
            <w:pPr>
              <w:spacing w:after="0" w:line="240"/>
            </w:pPr>
            <w:r>
              <w:rPr>
                <w:rFonts w:ascii="Arial" w:cs="Arial" w:eastAsia="Arial" w:hAnsi="Arial"/>
                <w:sz w:val="16"/>
                <w:szCs w:val="16"/>
              </w:rPr>
              <w:t xml:space="preserve">is_synthetic</w:t>
            </w:r>
          </w:p>
        </w:tc>
      </w:tr>
    </w:tbl>
    <w:p>
      <w:pPr>
        <w:spacing w:after="80"/>
      </w:pPr>
    </w:p>
    <w:p>
      <w:pPr>
        <w:pStyle w:val="Heading1"/>
        <w:keepNext/>
        <w:spacing w:after="100" w:before="200"/>
      </w:pPr>
      <w:r>
        <w:t xml:space="preserve">A3. Appendix: AI-tool disclosure</w:t>
      </w:r>
    </w:p>
    <w:p>
      <w:pPr>
        <w:pStyle w:val="ListParagraph"/>
        <w:numPr>
          <w:ilvl w:val="0"/>
          <w:numId w:val="2"/>
        </w:numPr>
        <w:spacing w:after="40" w:line="252"/>
      </w:pPr>
      <w:r>
        <w:rPr>
          <w:rFonts w:ascii="Arial" w:cs="Arial" w:eastAsia="Arial" w:hAnsi="Arial"/>
          <w:b/>
          <w:bCs/>
        </w:rPr>
        <w:t xml:space="preserve">Claude (Anthropic)</w:t>
      </w:r>
      <w:r>
        <w:rPr>
          <w:rFonts w:ascii="Arial" w:cs="Arial" w:eastAsia="Arial" w:hAnsi="Arial"/>
        </w:rPr>
        <w:t xml:space="preserve"> was used for research synthesis (finding and summarising public sources), code assistance (data-processing notebook and diagram rendering) and drafting this document.</w:t>
      </w:r>
    </w:p>
    <w:p>
      <w:pPr>
        <w:pStyle w:val="ListParagraph"/>
        <w:numPr>
          <w:ilvl w:val="0"/>
          <w:numId w:val="2"/>
        </w:numPr>
        <w:spacing w:after="40" w:line="252"/>
      </w:pPr>
      <w:r>
        <w:rPr>
          <w:rFonts w:ascii="Arial" w:cs="Arial" w:eastAsia="Arial" w:hAnsi="Arial"/>
        </w:rPr>
        <w:t xml:space="preserve">All numbers were computed by our code from the cited data. The notebook, raw data snapshots and data-quality log are kept for audit. All figures and decisions were reviewed by the team.</w:t>
      </w:r>
    </w:p>
    <w:p>
      <w:pPr>
        <w:pStyle w:val="ListParagraph"/>
        <w:numPr>
          <w:ilvl w:val="0"/>
          <w:numId w:val="2"/>
        </w:numPr>
        <w:spacing w:after="40" w:line="252"/>
      </w:pPr>
      <w:r>
        <w:rPr>
          <w:rFonts w:ascii="Arial" w:cs="Arial" w:eastAsia="Arial" w:hAnsi="Arial"/>
        </w:rPr>
        <w:t xml:space="preserve">No proprietary or confidential data was used. Third-party open-source libraries: pandas, geopandas, h3, rasterio, statsmodels, scipy, matplotlib, Mermaid, docx.</w:t>
      </w:r>
    </w:p>
    <w:sectPr>
      <w:headerReference w:type="default" r:id="rId6"/>
      <w:headerReference w:type="first" r:id="rId7"/>
      <w:footerReference w:type="default" r:id="rId8"/>
      <w:footerReference w:type="first" r:id="rId9"/>
      <w:pgSz w:w="11906" w:h="16838" w:orient="portrait"/>
      <w:pgMar w:top="1000" w:right="1077" w:bottom="1000" w:left="1077" w:header="500" w:footer="5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5"/>
        <w:szCs w:val="15"/>
      </w:rPr>
      <w:t xml:space="preserve">Page </w:t>
    </w:r>
    <w:r>
      <w:rPr>
        <w:rFonts w:ascii="Arial" w:cs="Arial" w:eastAsia="Arial" w:hAnsi="Arial"/>
        <w:color w:val="555555"/>
        <w:sz w:val="15"/>
        <w:szCs w:val="15"/>
      </w:rPr>
      <w:fldChar w:fldCharType="begin"/>
    </w:r>
    <w:r>
      <w:rPr>
        <w:rFonts w:ascii="Arial" w:cs="Arial" w:eastAsia="Arial" w:hAnsi="Arial"/>
        <w:color w:val="555555"/>
        <w:sz w:val="15"/>
        <w:szCs w:val="15"/>
      </w:rPr>
      <w:instrText xml:space="preserve">PAGE</w:instrText>
    </w:r>
    <w:r>
      <w:rPr>
        <w:rFonts w:ascii="Arial" w:cs="Arial" w:eastAsia="Arial" w:hAnsi="Arial"/>
        <w:color w:val="555555"/>
        <w:sz w:val="15"/>
        <w:szCs w:val="15"/>
      </w:rPr>
      <w:fldChar w:fldCharType="separate"/>
    </w:r>
    <w:r>
      <w:rPr>
        <w:rFonts w:ascii="Arial" w:cs="Arial" w:eastAsia="Arial" w:hAnsi="Arial"/>
        <w:color w:val="555555"/>
        <w:sz w:val="15"/>
        <w:szCs w:val="15"/>
      </w:rPr>
      <w:fldChar w:fldCharType="end"/>
    </w:r>
    <w:r>
      <w:rPr>
        <w:rFonts w:ascii="Arial" w:cs="Arial" w:eastAsia="Arial" w:hAnsi="Arial"/>
        <w:color w:val="555555"/>
        <w:sz w:val="15"/>
        <w:szCs w:val="15"/>
      </w:rPr>
      <w:t xml:space="preserve"> of </w:t>
    </w:r>
    <w:r>
      <w:rPr>
        <w:rFonts w:ascii="Arial" w:cs="Arial" w:eastAsia="Arial" w:hAnsi="Arial"/>
        <w:color w:val="555555"/>
        <w:sz w:val="15"/>
        <w:szCs w:val="15"/>
      </w:rPr>
      <w:fldChar w:fldCharType="begin"/>
    </w:r>
    <w:r>
      <w:rPr>
        <w:rFonts w:ascii="Arial" w:cs="Arial" w:eastAsia="Arial" w:hAnsi="Arial"/>
        <w:color w:val="555555"/>
        <w:sz w:val="15"/>
        <w:szCs w:val="15"/>
      </w:rPr>
      <w:instrText xml:space="preserve">NUMPAGES</w:instrText>
    </w:r>
    <w:r>
      <w:rPr>
        <w:rFonts w:ascii="Arial" w:cs="Arial" w:eastAsia="Arial" w:hAnsi="Arial"/>
        <w:color w:val="555555"/>
        <w:sz w:val="15"/>
        <w:szCs w:val="15"/>
      </w:rPr>
      <w:fldChar w:fldCharType="separate"/>
    </w:r>
    <w:r>
      <w:rPr>
        <w:rFonts w:ascii="Arial" w:cs="Arial" w:eastAsia="Arial" w:hAnsi="Arial"/>
        <w:color w:val="555555"/>
        <w:sz w:val="15"/>
        <w:szCs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4D1" w:sz="4" w:space="2"/>
      </w:pBdr>
      <w:tabs>
        <w:tab w:val="right" w:pos="9752"/>
      </w:tabs>
    </w:pPr>
    <w:r>
      <w:rPr>
        <w:rFonts w:ascii="Arial" w:cs="Arial" w:eastAsia="Arial" w:hAnsi="Arial"/>
        <w:color w:val="555555"/>
        <w:sz w:val="15"/>
        <w:szCs w:val="15"/>
      </w:rPr>
      <w:t xml:space="preserve">EV Infra Map India  ·  Round 1 submission</w:t>
    </w:r>
    <w:r>
      <w:rPr>
        <w:rFonts w:ascii="Arial" w:cs="Arial" w:eastAsia="Arial" w:hAnsi="Arial"/>
        <w:color w:val="555555"/>
        <w:sz w:val="15"/>
        <w:szCs w:val="15"/>
      </w:rPr>
      <w:tab/>
      <w:t xml:space="preserve">Team ID: TM-72BD3802D52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4E79"/>
      <w:sz w:val="26"/>
      <w:szCs w:val="26"/>
    </w:rPr>
  </w:style>
  <w:style w:type="paragraph" w:styleId="Heading2">
    <w:name w:val="Heading 2"/>
    <w:basedOn w:val="Normal"/>
    <w:next w:val="Normal"/>
    <w:qFormat/>
    <w:pPr>
      <w:spacing w:after="60" w:before="140"/>
      <w:outlineLvl w:val="1"/>
    </w:pPr>
    <w:rPr>
      <w:rFonts w:ascii="Arial" w:cs="Arial" w:eastAsia="Arial" w:hAnsi="Arial"/>
      <w:b/>
      <w:bCs/>
      <w:color w:val="333333"/>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b2107ee25d5f34f0a01ad489875ac2ee12f296ee.png"/><Relationship Id="rId12" Type="http://schemas.openxmlformats.org/officeDocument/2006/relationships/image" Target="media/89b43e70f8e37f2da0de18b9cae834318f6a5813.png"/><Relationship Id="rId13" Type="http://schemas.openxmlformats.org/officeDocument/2006/relationships/image" Target="media/f9f801631ad115f1fece421ff6a9675551f647c1.png"/><Relationship Id="rId14" Type="http://schemas.openxmlformats.org/officeDocument/2006/relationships/image" Target="media/cf70dc982a193deaa8501308b781b1214135e798.png"/><Relationship Id="rId15" Type="http://schemas.openxmlformats.org/officeDocument/2006/relationships/image" Target="media/ed9e7f4d21c0cbde3a6d8da7db1e0b1fa22a762e.png"/><Relationship Id="rId16" Type="http://schemas.openxmlformats.org/officeDocument/2006/relationships/image" Target="media/5acca1a3753801d08a1c7803113a5091c2c6c7f2.png"/><Relationship Id="rId17" Type="http://schemas.openxmlformats.org/officeDocument/2006/relationships/image" Target="media/a3d4510c30109a50ab1b8a3b80e3303735bacaa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 Infra Map India: Round 1 submission</dc:title>
  <dc:creator>Team TM-72BD3802D52</dc:creator>
  <cp:lastModifiedBy>Un-named</cp:lastModifiedBy>
  <cp:revision>1</cp:revision>
  <dcterms:created xsi:type="dcterms:W3CDTF">2026-10-17T08:43:29.664Z</dcterms:created>
  <dcterms:modified xsi:type="dcterms:W3CDTF">2026-10-17T08:43:29.665Z</dcterms:modified>
</cp:coreProperties>
</file>

<file path=docProps/custom.xml><?xml version="1.0" encoding="utf-8"?>
<Properties xmlns="http://schemas.openxmlformats.org/officeDocument/2006/custom-properties" xmlns:vt="http://schemas.openxmlformats.org/officeDocument/2006/docPropsVTypes"/>
</file>