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14400" cy="12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1" w:lineRule="auto" w:before="576" w:after="0"/>
        <w:ind w:left="0" w:right="0" w:firstLine="0"/>
        <w:jc w:val="left"/>
      </w:pPr>
      <w:r>
        <w:rPr>
          <w:rFonts w:ascii="" w:hAnsi="" w:eastAsia=""/>
          <w:b w:val="0"/>
          <w:i w:val="0"/>
          <w:color w:val="000000"/>
          <w:sz w:val="12"/>
        </w:rPr>
        <w:t xml:space="preserve">See discussions, stats, and author profiles for this publication at: </w:t>
      </w:r>
      <w:r>
        <w:rPr>
          <w:rFonts w:ascii="" w:hAnsi="" w:eastAsia=""/>
          <w:b w:val="0"/>
          <w:i w:val="0"/>
          <w:color w:val="3874A1"/>
          <w:sz w:val="12"/>
        </w:rPr>
        <w:hyperlink r:id="rId10" w:history="1">
          <w:r>
            <w:rPr>
              <w:rStyle w:val="Hyperlink"/>
            </w:rPr>
            <w:t>https://www.researchgate.net/publication/371240977</w:t>
          </w:r>
        </w:hyperlink>
      </w:r>
    </w:p>
    <w:p>
      <w:pPr>
        <w:autoSpaceDN w:val="0"/>
        <w:autoSpaceDE w:val="0"/>
        <w:widowControl/>
        <w:spacing w:line="442" w:lineRule="auto" w:before="220" w:after="0"/>
        <w:ind w:left="0" w:right="1008" w:firstLine="0"/>
        <w:jc w:val="left"/>
      </w:pPr>
      <w:r>
        <w:rPr>
          <w:w w:val="98.16051059299045"/>
          <w:rFonts w:ascii="" w:hAnsi="" w:eastAsia="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 xml:space="preserve">Solid-oxide fuel cells: A critical review of materials for cell components </w:t>
          </w:r>
        </w:hyperlink>
      </w:r>
      <w:r>
        <w:rPr>
          <w:w w:val="101.93591484656702"/>
          <w:rFonts w:ascii="Source Sans Pro Semibold" w:hAnsi="Source Sans Pro Semibold" w:eastAsia="Source Sans Pro Semibold"/>
          <w:b/>
          <w:i w:val="0"/>
          <w:color w:val="222222"/>
          <w:sz w:val="13"/>
        </w:rPr>
        <w:t>Article</w:t>
      </w:r>
      <w:r>
        <w:rPr>
          <w:w w:val="101.93591484656702"/>
          <w:rFonts w:ascii="" w:hAnsi="" w:eastAsia=""/>
          <w:b w:val="0"/>
          <w:i/>
          <w:color w:val="606060"/>
          <w:sz w:val="13"/>
        </w:rPr>
        <w:t>in</w:t>
      </w:r>
      <w:r>
        <w:rPr>
          <w:w w:val="101.93591484656702"/>
          <w:rFonts w:ascii="" w:hAnsi="" w:eastAsia=""/>
          <w:b w:val="0"/>
          <w:i w:val="0"/>
          <w:color w:val="333333"/>
          <w:sz w:val="13"/>
        </w:rPr>
        <w:t>MRS Communications · June 2023</w:t>
      </w:r>
    </w:p>
    <w:p>
      <w:pPr>
        <w:autoSpaceDN w:val="0"/>
        <w:autoSpaceDE w:val="0"/>
        <w:widowControl/>
        <w:spacing w:line="278" w:lineRule="auto" w:before="58" w:after="404"/>
        <w:ind w:left="0" w:right="0" w:firstLine="0"/>
        <w:jc w:val="left"/>
      </w:pPr>
      <w:r>
        <w:rPr>
          <w:w w:val="103.06854248046875"/>
          <w:rFonts w:ascii="" w:hAnsi="" w:eastAsia=""/>
          <w:b w:val="0"/>
          <w:i w:val="0"/>
          <w:color w:val="555555"/>
          <w:sz w:val="9"/>
        </w:rPr>
        <w:t>DOI: 10.1557/s43579-023-00371-0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1"/>
        <w:gridCol w:w="5261"/>
      </w:tblGrid>
      <w:tr>
        <w:trPr>
          <w:trHeight w:hRule="exact" w:val="538"/>
        </w:trPr>
        <w:tc>
          <w:tcPr>
            <w:tcW w:type="dxa" w:w="4638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98" w:after="0"/>
              <w:ind w:left="0" w:right="4032" w:firstLine="0"/>
              <w:jc w:val="left"/>
            </w:pPr>
            <w:r>
              <w:rPr>
                <w:w w:val="96.37577750466086"/>
                <w:rFonts w:ascii="" w:hAnsi="" w:eastAsia=""/>
                <w:b w:val="0"/>
                <w:i w:val="0"/>
                <w:color w:val="333333"/>
                <w:sz w:val="11"/>
              </w:rPr>
              <w:t xml:space="preserve">CITATIONS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5154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98" w:after="0"/>
              <w:ind w:left="516" w:right="4320" w:firstLine="0"/>
              <w:jc w:val="left"/>
            </w:pPr>
            <w:r>
              <w:rPr>
                <w:w w:val="96.37577750466086"/>
                <w:rFonts w:ascii="" w:hAnsi="" w:eastAsia=""/>
                <w:b w:val="0"/>
                <w:i w:val="0"/>
                <w:color w:val="333333"/>
                <w:sz w:val="11"/>
              </w:rPr>
              <w:t xml:space="preserve">READS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42" w:lineRule="auto" w:before="248" w:after="0"/>
        <w:ind w:left="0" w:right="0" w:firstLine="0"/>
        <w:jc w:val="left"/>
      </w:pPr>
      <w:r>
        <w:rPr>
          <w:w w:val="101.93591484656702"/>
          <w:rFonts w:ascii="Source Sans Pro Semibold" w:hAnsi="Source Sans Pro Semibold" w:eastAsia="Source Sans Pro Semibold"/>
          <w:b/>
          <w:i w:val="0"/>
          <w:color w:val="222222"/>
          <w:sz w:val="13"/>
        </w:rPr>
        <w:t>Some of the authors of this publication are also working on these related projects:</w:t>
      </w:r>
    </w:p>
    <w:p>
      <w:pPr>
        <w:autoSpaceDN w:val="0"/>
        <w:autoSpaceDE w:val="0"/>
        <w:widowControl/>
        <w:spacing w:line="240" w:lineRule="auto" w:before="14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6550" cy="3365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36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93591484656702"/>
          <w:rFonts w:ascii="" w:hAnsi="" w:eastAsia=""/>
          <w:b w:val="0"/>
          <w:i w:val="0"/>
          <w:color w:val="333333"/>
          <w:sz w:val="13"/>
        </w:rPr>
        <w:t>Li-ion batteries.</w:t>
      </w:r>
      <w:r>
        <w:rPr>
          <w:w w:val="101.93591484656702"/>
          <w:rFonts w:ascii="" w:hAnsi="" w:eastAsia=""/>
          <w:b w:val="0"/>
          <w:i w:val="0"/>
          <w:color w:val="3874A1"/>
          <w:sz w:val="13"/>
        </w:rPr>
        <w:hyperlink r:id="rId13" w:history="1">
          <w:r>
            <w:rPr>
              <w:rStyle w:val="Hyperlink"/>
            </w:rPr>
            <w:t>View project</w:t>
          </w:r>
        </w:hyperlink>
      </w:r>
    </w:p>
    <w:p>
      <w:pPr>
        <w:autoSpaceDN w:val="0"/>
        <w:autoSpaceDE w:val="0"/>
        <w:widowControl/>
        <w:spacing w:line="240" w:lineRule="auto" w:before="6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6550" cy="3365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36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93591484656702"/>
          <w:rFonts w:ascii="" w:hAnsi="" w:eastAsia=""/>
          <w:b w:val="0"/>
          <w:i w:val="0"/>
          <w:color w:val="333333"/>
          <w:sz w:val="13"/>
        </w:rPr>
        <w:t>Surface exchange and diffusion of protonic species.</w:t>
      </w:r>
      <w:r>
        <w:rPr>
          <w:w w:val="101.93591484656702"/>
          <w:rFonts w:ascii="" w:hAnsi="" w:eastAsia=""/>
          <w:b w:val="0"/>
          <w:i w:val="0"/>
          <w:color w:val="3874A1"/>
          <w:sz w:val="13"/>
        </w:rPr>
        <w:hyperlink r:id="rId14" w:history="1">
          <w:r>
            <w:rPr>
              <w:rStyle w:val="Hyperlink"/>
            </w:rPr>
            <w:t>View project</w:t>
          </w:r>
        </w:hyperlink>
      </w:r>
    </w:p>
    <w:p>
      <w:pPr>
        <w:autoSpaceDN w:val="0"/>
        <w:autoSpaceDE w:val="0"/>
        <w:widowControl/>
        <w:spacing w:line="281" w:lineRule="auto" w:before="10514" w:after="0"/>
        <w:ind w:left="66" w:right="0" w:firstLine="0"/>
        <w:jc w:val="left"/>
      </w:pPr>
      <w:r>
        <w:rPr>
          <w:w w:val="101.93591484656702"/>
          <w:rFonts w:ascii="" w:hAnsi="" w:eastAsia=""/>
          <w:b w:val="0"/>
          <w:i w:val="0"/>
          <w:color w:val="000000"/>
          <w:sz w:val="13"/>
        </w:rPr>
        <w:t xml:space="preserve">All content following this page was uploaded by </w:t>
      </w:r>
      <w:r>
        <w:rPr>
          <w:w w:val="101.93591484656702"/>
          <w:rFonts w:ascii="" w:hAnsi="" w:eastAsia=""/>
          <w:b w:val="0"/>
          <w:i w:val="0"/>
          <w:color w:val="3874A1"/>
          <w:sz w:val="13"/>
        </w:rPr>
        <w:hyperlink r:id="rId15" w:history="1">
          <w:r>
            <w:rPr>
              <w:rStyle w:val="Hyperlink"/>
            </w:rPr>
            <w:t>Mudasir A Yatoo</w:t>
          </w:r>
        </w:hyperlink>
      </w:r>
      <w:r>
        <w:rPr>
          <w:w w:val="101.93591484656702"/>
          <w:rFonts w:ascii="" w:hAnsi="" w:eastAsia=""/>
          <w:b w:val="0"/>
          <w:i w:val="0"/>
          <w:color w:val="000000"/>
          <w:sz w:val="13"/>
        </w:rPr>
        <w:t xml:space="preserve"> on 02 June 2023.</w:t>
      </w:r>
    </w:p>
    <w:p>
      <w:pPr>
        <w:autoSpaceDN w:val="0"/>
        <w:autoSpaceDE w:val="0"/>
        <w:widowControl/>
        <w:spacing w:line="278" w:lineRule="auto" w:before="152" w:after="0"/>
        <w:ind w:left="66" w:right="0" w:firstLine="0"/>
        <w:jc w:val="left"/>
      </w:pPr>
      <w:r>
        <w:rPr>
          <w:w w:val="96.37577750466086"/>
          <w:rFonts w:ascii="" w:hAnsi="" w:eastAsia=""/>
          <w:b w:val="0"/>
          <w:i w:val="0"/>
          <w:color w:val="000000"/>
          <w:sz w:val="11"/>
        </w:rPr>
        <w:t>The user has requested enhancement of the downloaded file.</w:t>
      </w:r>
    </w:p>
    <w:p>
      <w:pPr>
        <w:sectPr>
          <w:pgSz w:w="11899" w:h="16819"/>
          <w:pgMar w:top="330" w:right="580" w:bottom="146" w:left="79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838200</wp:posOffset>
            </wp:positionV>
            <wp:extent cx="6261100" cy="8128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812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0" w:lineRule="auto" w:before="0" w:after="0"/>
        <w:ind w:left="12" w:right="7056" w:hanging="2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MRS Communications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© The Author(s) 2023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https://doi.org/10.1557/s43579-023-00371-0</w:t>
      </w:r>
    </w:p>
    <w:p>
      <w:pPr>
        <w:autoSpaceDN w:val="0"/>
        <w:autoSpaceDE w:val="0"/>
        <w:widowControl/>
        <w:spacing w:line="296" w:lineRule="exact" w:before="518" w:after="0"/>
        <w:ind w:left="0" w:right="5340" w:firstLine="0"/>
        <w:jc w:val="right"/>
      </w:pPr>
      <w:r>
        <w:rPr>
          <w:rFonts w:ascii="Futura" w:hAnsi="Futura" w:eastAsia="Futura"/>
          <w:b w:val="0"/>
          <w:i w:val="0"/>
          <w:color w:val="FFFFFF"/>
          <w:sz w:val="22"/>
        </w:rPr>
        <w:t>Prospective</w:t>
      </w:r>
    </w:p>
    <w:p>
      <w:pPr>
        <w:autoSpaceDN w:val="0"/>
        <w:autoSpaceDE w:val="0"/>
        <w:widowControl/>
        <w:spacing w:line="334" w:lineRule="exact" w:before="712" w:after="0"/>
        <w:ind w:left="1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8"/>
        </w:rPr>
        <w:t>Solid‑oxide fuel cells: A critical review of materials for cell componen</w:t>
      </w:r>
      <w:r>
        <w:rPr>
          <w:rFonts w:ascii="HelveticaNeueLTStd" w:hAnsi="HelveticaNeueLTStd" w:eastAsia="HelveticaNeueLTStd"/>
          <w:b/>
          <w:i w:val="0"/>
          <w:color w:val="564281"/>
          <w:sz w:val="28"/>
        </w:rPr>
        <w:hyperlink r:id="rId16" w:history="1">
          <w:r>
            <w:rPr>
              <w:rStyle w:val="Hyperlink"/>
            </w:rPr>
            <w:t>ts</w:t>
          </w:r>
        </w:hyperlink>
      </w:r>
    </w:p>
    <w:p>
      <w:pPr>
        <w:autoSpaceDN w:val="0"/>
        <w:autoSpaceDE w:val="0"/>
        <w:widowControl/>
        <w:spacing w:line="240" w:lineRule="auto" w:before="16" w:after="0"/>
        <w:ind w:left="1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>Mudasir A. Yatoo</w:t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hyperlink r:id="rId17" w:history="1">
          <w:r>
            <w:rPr>
              <w:rStyle w:val="Hyperlink"/>
            </w:rPr>
            <w:t xml:space="preserve"> ,</w:t>
          </w:r>
        </w:hyperlink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 xml:space="preserve">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Department of Materials, Imperial College London, Exhibition Road, London SW7 2AZ, UK</w:t>
      </w:r>
      <w:r>
        <w:drawing>
          <wp:inline xmlns:a="http://schemas.openxmlformats.org/drawingml/2006/main" xmlns:pic="http://schemas.openxmlformats.org/drawingml/2006/picture">
            <wp:extent cx="127000" cy="127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0" w:after="0"/>
        <w:ind w:left="10" w:right="2736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 xml:space="preserve">Faiza Habib,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Department of Chemistry, University College London, Gordon St, London WC1H 0AJ, UK </w:t>
      </w:r>
      <w:r>
        <w:br/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 xml:space="preserve">Akhtar Hussain Malik,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Department of Chemistry, Government Degree College Sopore, Sopore, J &amp; K 193201, India </w:t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 xml:space="preserve">Mohsin Jahan Qazi,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Meinig School of Biomedical Engineering, Cornell University, Ithaca, NY 14853, USA </w:t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 xml:space="preserve">Sharique Ahmad,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Aligarh Muslim University, University Polytechnic, Aligarh 202002, India </w:t>
      </w:r>
      <w:r>
        <w:br/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 xml:space="preserve">Mohd Azhardin Ganayee,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Department of Chemistry, Indian Institute of Technology Madras, Chennai 600036, India </w:t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 xml:space="preserve">Zubair Ahmad,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School of Chemical Engineering, Yeungnam University, Gyeongbuk 38541, Republic of Korea</w:t>
      </w:r>
    </w:p>
    <w:p>
      <w:pPr>
        <w:autoSpaceDN w:val="0"/>
        <w:autoSpaceDE w:val="0"/>
        <w:widowControl/>
        <w:spacing w:line="190" w:lineRule="exact" w:before="70" w:after="0"/>
        <w:ind w:left="10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Address all correspondence to Mudasir A. Yatoo at </w:t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>m.yatoo15@imperial.ac.uk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and Zubair Ahmad at </w:t>
      </w:r>
      <w:r>
        <w:rPr>
          <w:rFonts w:ascii="HelveticaNeueLTStd" w:hAnsi="HelveticaNeueLTStd" w:eastAsia="HelveticaNeueLTStd"/>
          <w:b/>
          <w:i w:val="0"/>
          <w:color w:val="564281"/>
          <w:sz w:val="16"/>
        </w:rPr>
        <w:t>Zubair7157@yu.ac.kr</w:t>
      </w:r>
    </w:p>
    <w:p>
      <w:pPr>
        <w:autoSpaceDN w:val="0"/>
        <w:autoSpaceDE w:val="0"/>
        <w:widowControl/>
        <w:spacing w:line="184" w:lineRule="exact" w:before="192" w:after="0"/>
        <w:ind w:left="10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(Received 30 January 2023; accepted 17 May 2023)</w:t>
      </w:r>
    </w:p>
    <w:p>
      <w:pPr>
        <w:autoSpaceDN w:val="0"/>
        <w:autoSpaceDE w:val="0"/>
        <w:widowControl/>
        <w:spacing w:line="240" w:lineRule="auto" w:before="2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61100" cy="76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66" w:after="474"/>
        <w:ind w:left="1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Abstract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8"/>
        </w:rPr>
        <w:t xml:space="preserve">Solid-oxide fuel cells are efficient devices for the conversion of chemical to electrical energy and a typical solid-oxide fuel cell consists of a solid </w:t>
      </w:r>
      <w:r>
        <w:rPr>
          <w:rFonts w:ascii="HelveticaNeueLTStd" w:hAnsi="HelveticaNeueLTStd" w:eastAsia="HelveticaNeueLTStd"/>
          <w:b w:val="0"/>
          <w:i w:val="0"/>
          <w:color w:val="000000"/>
          <w:sz w:val="18"/>
        </w:rPr>
        <w:t>electrolyte, cathode, and anode. In the last few decades, researchers have been working extensively on materials development for different compo-</w:t>
      </w:r>
      <w:r>
        <w:rPr>
          <w:rFonts w:ascii="HelveticaNeueLTStd" w:hAnsi="HelveticaNeueLTStd" w:eastAsia="HelveticaNeueLTStd"/>
          <w:b w:val="0"/>
          <w:i w:val="0"/>
          <w:color w:val="000000"/>
          <w:sz w:val="18"/>
        </w:rPr>
        <w:t xml:space="preserve">nents of these devices. In this review article, we briefly discuss the requirements for different components and review prominent materials families </w:t>
      </w:r>
      <w:r>
        <w:rPr>
          <w:rFonts w:ascii="HelveticaNeueLTStd" w:hAnsi="HelveticaNeueLTStd" w:eastAsia="HelveticaNeueLTStd"/>
          <w:b w:val="0"/>
          <w:i w:val="0"/>
          <w:color w:val="000000"/>
          <w:sz w:val="18"/>
        </w:rPr>
        <w:t xml:space="preserve">explored by the scientific community. As the search for greener energy alternatives such as solid-oxide fuel cells has intensified manifold due to the </w:t>
      </w:r>
      <w:r>
        <w:rPr>
          <w:rFonts w:ascii="HelveticaNeueLTStd" w:hAnsi="HelveticaNeueLTStd" w:eastAsia="HelveticaNeueLTStd"/>
          <w:b w:val="0"/>
          <w:i w:val="0"/>
          <w:color w:val="000000"/>
          <w:sz w:val="18"/>
        </w:rPr>
        <w:t xml:space="preserve">climate change emergency, a substantial literature was produced on the materials development of these devices and, therefore, we believe a brief </w:t>
      </w:r>
      <w:r>
        <w:rPr>
          <w:rFonts w:ascii="HelveticaNeueLTStd" w:hAnsi="HelveticaNeueLTStd" w:eastAsia="HelveticaNeueLTStd"/>
          <w:b w:val="0"/>
          <w:i w:val="0"/>
          <w:color w:val="000000"/>
          <w:sz w:val="18"/>
        </w:rPr>
        <w:t>review article dedicated to the same will be valuable for the scientific community, particularly new young entrant researchers in the field.</w:t>
      </w:r>
    </w:p>
    <w:p>
      <w:pPr>
        <w:sectPr>
          <w:pgSz w:w="11906" w:h="15818"/>
          <w:pgMar w:top="250" w:right="858" w:bottom="224" w:left="10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44" w:after="0"/>
        <w:ind w:left="10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Introduction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Many electrochemical conversion and storage technologies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such as Li-ion and solid-state batteries, fuel cells and capaci-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tors are being heavily investigated to decarbonise our environ-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ment.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. Fuel cells are one of the promising technologies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depending on the nature of the electrolyte used in the fuel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 that there are various types of fuel cells: Solid-oxide fuel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 (SOFC), Molten carbonate fuel cell (MCFC), Polymer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electrolyte (Proton Exchange) Membrane fuel cell (PEMFC),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Phosphoric acid fuel cell (PAFC), Direct methanol fuel 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(DMFC) and Alkaline fuel cells (AFC). Broadly these fuel 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types can also be classified as high-temperature devices, such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 SOFC and MCFC, and low-temperature devices such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PEMFC, PAFC, DMFC and AFC. The operating temperature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different fuel cell types tends to depend on the nature of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electrolyte being used and is also reflected in the applications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of various fuel cell types.</w:t>
      </w:r>
    </w:p>
    <w:p>
      <w:pPr>
        <w:autoSpaceDN w:val="0"/>
        <w:autoSpaceDE w:val="0"/>
        <w:widowControl/>
        <w:spacing w:line="264" w:lineRule="auto" w:before="0" w:after="0"/>
        <w:ind w:left="10" w:right="154" w:firstLine="2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SOFCs, in particular, have attracted much attention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recent times. This increased interest in SOFCs stems from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fact that SOFCs have many advantages over other types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fuel cells. The flexibility of fuel, which allows the use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hydrogen, carbon dioxide, methane, and other hydrocarbons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power the cells is certainly a primary one. Further benefits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include higher efficiency, a step towards a hydrogen-based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economy, low emissions, relatively low cost and scalability,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which allows the stacking of a required number of individual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cells in series depending on the amounts of power needed in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particular device. It is in this context that SOFCs have assumed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prime importance among the different types of fuel cells,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we, therefore, believe that a concise review article briefly </w:t>
      </w:r>
    </w:p>
    <w:p>
      <w:pPr>
        <w:sectPr>
          <w:type w:val="continuous"/>
          <w:pgSz w:w="11906" w:h="15818"/>
          <w:pgMar w:top="250" w:right="858" w:bottom="224" w:left="1020" w:header="720" w:footer="720" w:gutter="0"/>
          <w:cols w:num="2" w:equalWidth="0">
            <w:col w:w="4958" w:space="0"/>
            <w:col w:w="5070" w:space="0"/>
          </w:cols>
          <w:docGrid w:linePitch="360"/>
        </w:sectPr>
      </w:pPr>
    </w:p>
    <w:p>
      <w:pPr>
        <w:autoSpaceDN w:val="0"/>
        <w:tabs>
          <w:tab w:pos="382" w:val="left"/>
        </w:tabs>
        <w:autoSpaceDE w:val="0"/>
        <w:widowControl/>
        <w:spacing w:line="264" w:lineRule="auto" w:before="0" w:after="0"/>
        <w:ind w:left="1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discussing promising materials families in the field would be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relevant for researchers in the field. For comprehensive long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reviews, we invite the reader to cited review articles here.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 typical SOFC consists of a solid electrolyte, which sepa-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rates the anode and cathode from each other. The cathode acts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 a reduction site and reduces the oxygen being inserted into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system at the cathode site itself. The oxide ions migrate via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electrolyte to the anode where they oxidise the fuel, pro-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ducing water, heat and more importantly electrons, to perform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useful work (Fig.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).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oxygen reduction reaction (ORR) occurs at the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the oxide ions produced are transported via an electrolyte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the anode (Eq.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). It is here at the anode site that the oxide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ions react with fuel (hydrogen gas) to produce electrons (Eq.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).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electrons generated at the interface of the anode and elec-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trolyte are transported to an external circuit for useful work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through the anode. The electrons finally arrive at the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and continue the process.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</w:p>
    <w:p>
      <w:pPr>
        <w:autoSpaceDN w:val="0"/>
        <w:tabs>
          <w:tab w:pos="4676" w:val="left"/>
        </w:tabs>
        <w:autoSpaceDE w:val="0"/>
        <w:widowControl/>
        <w:spacing w:line="270" w:lineRule="exact" w:before="114" w:after="0"/>
        <w:ind w:left="916" w:right="0" w:firstLine="0"/>
        <w:jc w:val="left"/>
      </w:pPr>
      <w:r>
        <w:rPr>
          <w:rFonts w:ascii="TimesNewRomanPSMT4" w:hAnsi="TimesNewRomanPSMT4" w:eastAsia="TimesNewRomanPSMT4"/>
          <w:b w:val="0"/>
          <w:i w:val="0"/>
          <w:color w:val="000000"/>
          <w:sz w:val="19"/>
        </w:rPr>
        <w:t>Cathode Reaction</w:t>
      </w:r>
      <w:r>
        <w:rPr>
          <w:rFonts w:ascii="MTSYN" w:hAnsi="MTSYN" w:eastAsia="MTSYN"/>
          <w:b w:val="0"/>
          <w:i w:val="0"/>
          <w:color w:val="000000"/>
          <w:sz w:val="19"/>
        </w:rPr>
        <w:t xml:space="preserve"> :</w:t>
      </w:r>
      <w:r>
        <w:rPr>
          <w:rFonts w:ascii="TimesNewRomanPSMT4" w:hAnsi="TimesNewRomanPSMT4" w:eastAsia="TimesNewRomanPSMT4"/>
          <w:b w:val="0"/>
          <w:i w:val="0"/>
          <w:color w:val="000000"/>
          <w:sz w:val="19"/>
        </w:rPr>
        <w:t xml:space="preserve"> O</w:t>
      </w:r>
      <w:r>
        <w:rPr>
          <w:w w:val="102.7571405683245"/>
          <w:rFonts w:ascii="TimesNewRomanPSMT4" w:hAnsi="TimesNewRomanPSMT4" w:eastAsia="TimesNewRomanPSMT4"/>
          <w:b w:val="0"/>
          <w:i w:val="0"/>
          <w:color w:val="000000"/>
          <w:sz w:val="14"/>
        </w:rPr>
        <w:t>2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(</w:t>
      </w:r>
      <w:r>
        <w:rPr>
          <w:w w:val="102.7571405683245"/>
          <w:rFonts w:ascii="TimesNewRomanPSMT4" w:hAnsi="TimesNewRomanPSMT4" w:eastAsia="TimesNewRomanPSMT4"/>
          <w:b w:val="0"/>
          <w:i w:val="0"/>
          <w:color w:val="000000"/>
          <w:sz w:val="14"/>
        </w:rPr>
        <w:t>g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)</w:t>
      </w:r>
      <w:r>
        <w:rPr>
          <w:rFonts w:ascii="MTSYN" w:hAnsi="MTSYN" w:eastAsia="MTSYN"/>
          <w:b w:val="0"/>
          <w:i w:val="0"/>
          <w:color w:val="000000"/>
          <w:sz w:val="19"/>
        </w:rPr>
        <w:t xml:space="preserve"> +</w:t>
      </w:r>
      <w:r>
        <w:rPr>
          <w:rFonts w:ascii="TimesNewRomanPSMT4" w:hAnsi="TimesNewRomanPSMT4" w:eastAsia="TimesNewRomanPSMT4"/>
          <w:b w:val="0"/>
          <w:i w:val="0"/>
          <w:color w:val="000000"/>
          <w:sz w:val="19"/>
        </w:rPr>
        <w:t xml:space="preserve"> 4e</w:t>
      </w:r>
      <w:r>
        <w:rPr>
          <w:w w:val="102.7571405683245"/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rFonts w:ascii="MTSYN" w:hAnsi="MTSYN" w:eastAsia="MTSYN"/>
          <w:b w:val="0"/>
          <w:i w:val="0"/>
          <w:color w:val="000000"/>
          <w:sz w:val="19"/>
        </w:rPr>
        <w:t>→</w:t>
      </w:r>
      <w:r>
        <w:rPr>
          <w:rFonts w:ascii="TimesNewRomanPSMT4" w:hAnsi="TimesNewRomanPSMT4" w:eastAsia="TimesNewRomanPSMT4"/>
          <w:b w:val="0"/>
          <w:i w:val="0"/>
          <w:color w:val="000000"/>
          <w:sz w:val="19"/>
        </w:rPr>
        <w:t>2O</w:t>
      </w:r>
      <w:r>
        <w:rPr>
          <w:w w:val="102.7571405683245"/>
          <w:rFonts w:ascii="TimesNewRomanPSMT4" w:hAnsi="TimesNewRomanPSMT4" w:eastAsia="TimesNewRomanPSMT4"/>
          <w:b w:val="0"/>
          <w:i w:val="0"/>
          <w:color w:val="000000"/>
          <w:sz w:val="14"/>
        </w:rPr>
        <w:t>2</w:t>
      </w:r>
      <w:r>
        <w:rPr>
          <w:w w:val="102.7571405683245"/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rFonts w:ascii="TimesNewRomanPSMT4" w:hAnsi="TimesNewRomanPSMT4" w:eastAsia="TimesNewRomanPSMT4"/>
          <w:b w:val="0"/>
          <w:i w:val="0"/>
          <w:color w:val="000000"/>
          <w:sz w:val="19"/>
        </w:rPr>
        <w:t xml:space="preserve">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(1)</w:t>
      </w:r>
    </w:p>
    <w:p>
      <w:pPr>
        <w:autoSpaceDN w:val="0"/>
        <w:tabs>
          <w:tab w:pos="4676" w:val="left"/>
        </w:tabs>
        <w:autoSpaceDE w:val="0"/>
        <w:widowControl/>
        <w:spacing w:line="270" w:lineRule="exact" w:before="174" w:after="0"/>
        <w:ind w:left="560" w:right="0" w:firstLine="0"/>
        <w:jc w:val="left"/>
      </w:pPr>
      <w:r>
        <w:rPr>
          <w:rFonts w:ascii="TimesNewRomanPSMT2" w:hAnsi="TimesNewRomanPSMT2" w:eastAsia="TimesNewRomanPSMT2"/>
          <w:b w:val="0"/>
          <w:i w:val="0"/>
          <w:color w:val="000000"/>
          <w:sz w:val="19"/>
        </w:rPr>
        <w:t>Anode Reaction</w:t>
      </w:r>
      <w:r>
        <w:rPr>
          <w:rFonts w:ascii="MTSYN" w:hAnsi="MTSYN" w:eastAsia="MTSYN"/>
          <w:b w:val="0"/>
          <w:i w:val="0"/>
          <w:color w:val="000000"/>
          <w:sz w:val="19"/>
        </w:rPr>
        <w:t xml:space="preserve"> :</w:t>
      </w:r>
      <w:r>
        <w:rPr>
          <w:rFonts w:ascii="TimesNewRomanPSMT2" w:hAnsi="TimesNewRomanPSMT2" w:eastAsia="TimesNewRomanPSMT2"/>
          <w:b w:val="0"/>
          <w:i w:val="0"/>
          <w:color w:val="000000"/>
          <w:sz w:val="19"/>
        </w:rPr>
        <w:t xml:space="preserve"> 2H</w:t>
      </w:r>
      <w:r>
        <w:rPr>
          <w:w w:val="102.7571405683245"/>
          <w:rFonts w:ascii="TimesNewRomanPSMT2" w:hAnsi="TimesNewRomanPSMT2" w:eastAsia="TimesNewRomanPSMT2"/>
          <w:b w:val="0"/>
          <w:i w:val="0"/>
          <w:color w:val="000000"/>
          <w:sz w:val="14"/>
        </w:rPr>
        <w:t>2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(</w:t>
      </w:r>
      <w:r>
        <w:rPr>
          <w:w w:val="102.7571405683245"/>
          <w:rFonts w:ascii="TimesNewRomanPSMT2" w:hAnsi="TimesNewRomanPSMT2" w:eastAsia="TimesNewRomanPSMT2"/>
          <w:b w:val="0"/>
          <w:i w:val="0"/>
          <w:color w:val="000000"/>
          <w:sz w:val="14"/>
        </w:rPr>
        <w:t>g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)</w:t>
      </w:r>
      <w:r>
        <w:rPr>
          <w:rFonts w:ascii="MTSYN" w:hAnsi="MTSYN" w:eastAsia="MTSYN"/>
          <w:b w:val="0"/>
          <w:i w:val="0"/>
          <w:color w:val="000000"/>
          <w:sz w:val="19"/>
        </w:rPr>
        <w:t xml:space="preserve"> +</w:t>
      </w:r>
      <w:r>
        <w:rPr>
          <w:rFonts w:ascii="TimesNewRomanPSMT2" w:hAnsi="TimesNewRomanPSMT2" w:eastAsia="TimesNewRomanPSMT2"/>
          <w:b w:val="0"/>
          <w:i w:val="0"/>
          <w:color w:val="000000"/>
          <w:sz w:val="19"/>
        </w:rPr>
        <w:t xml:space="preserve"> 2O</w:t>
      </w:r>
      <w:r>
        <w:rPr>
          <w:w w:val="102.7571405683245"/>
          <w:rFonts w:ascii="TimesNewRomanPSMT2" w:hAnsi="TimesNewRomanPSMT2" w:eastAsia="TimesNewRomanPSMT2"/>
          <w:b w:val="0"/>
          <w:i w:val="0"/>
          <w:color w:val="000000"/>
          <w:sz w:val="14"/>
        </w:rPr>
        <w:t>2</w:t>
      </w:r>
      <w:r>
        <w:rPr>
          <w:w w:val="102.7571405683245"/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rFonts w:ascii="MTSYN" w:hAnsi="MTSYN" w:eastAsia="MTSYN"/>
          <w:b w:val="0"/>
          <w:i w:val="0"/>
          <w:color w:val="000000"/>
          <w:sz w:val="19"/>
        </w:rPr>
        <w:t>→</w:t>
      </w:r>
      <w:r>
        <w:rPr>
          <w:rFonts w:ascii="TimesNewRomanPSMT2" w:hAnsi="TimesNewRomanPSMT2" w:eastAsia="TimesNewRomanPSMT2"/>
          <w:b w:val="0"/>
          <w:i w:val="0"/>
          <w:color w:val="000000"/>
          <w:sz w:val="19"/>
        </w:rPr>
        <w:t>2H</w:t>
      </w:r>
      <w:r>
        <w:rPr>
          <w:w w:val="102.7571405683245"/>
          <w:rFonts w:ascii="TimesNewRomanPSMT2" w:hAnsi="TimesNewRomanPSMT2" w:eastAsia="TimesNewRomanPSMT2"/>
          <w:b w:val="0"/>
          <w:i w:val="0"/>
          <w:color w:val="000000"/>
          <w:sz w:val="14"/>
        </w:rPr>
        <w:t>2</w:t>
      </w:r>
      <w:r>
        <w:rPr>
          <w:rFonts w:ascii="TimesNewRomanPSMT2" w:hAnsi="TimesNewRomanPSMT2" w:eastAsia="TimesNewRomanPSMT2"/>
          <w:b w:val="0"/>
          <w:i w:val="0"/>
          <w:color w:val="000000"/>
          <w:sz w:val="19"/>
        </w:rPr>
        <w:t>O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(</w:t>
      </w:r>
      <w:r>
        <w:rPr>
          <w:w w:val="102.7571405683245"/>
          <w:rFonts w:ascii="TimesNewRomanPSMT2" w:hAnsi="TimesNewRomanPSMT2" w:eastAsia="TimesNewRomanPSMT2"/>
          <w:b w:val="0"/>
          <w:i w:val="0"/>
          <w:color w:val="000000"/>
          <w:sz w:val="14"/>
        </w:rPr>
        <w:t>g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)</w:t>
      </w:r>
      <w:r>
        <w:rPr>
          <w:rFonts w:ascii="MTSYN" w:hAnsi="MTSYN" w:eastAsia="MTSYN"/>
          <w:b w:val="0"/>
          <w:i w:val="0"/>
          <w:color w:val="000000"/>
          <w:sz w:val="19"/>
        </w:rPr>
        <w:t xml:space="preserve"> +</w:t>
      </w:r>
      <w:r>
        <w:rPr>
          <w:rFonts w:ascii="TimesNewRomanPSMT2" w:hAnsi="TimesNewRomanPSMT2" w:eastAsia="TimesNewRomanPSMT2"/>
          <w:b w:val="0"/>
          <w:i w:val="0"/>
          <w:color w:val="000000"/>
          <w:sz w:val="19"/>
        </w:rPr>
        <w:t xml:space="preserve"> 4e,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(2)</w:t>
      </w:r>
    </w:p>
    <w:p>
      <w:pPr>
        <w:autoSpaceDN w:val="0"/>
        <w:tabs>
          <w:tab w:pos="4676" w:val="left"/>
        </w:tabs>
        <w:autoSpaceDE w:val="0"/>
        <w:widowControl/>
        <w:spacing w:line="256" w:lineRule="exact" w:before="164" w:after="0"/>
        <w:ind w:left="748" w:right="0" w:firstLine="0"/>
        <w:jc w:val="left"/>
      </w:pPr>
      <w:r>
        <w:rPr>
          <w:rFonts w:ascii="TimesNewRomanPSMT3" w:hAnsi="TimesNewRomanPSMT3" w:eastAsia="TimesNewRomanPSMT3"/>
          <w:b w:val="0"/>
          <w:i w:val="0"/>
          <w:color w:val="000000"/>
          <w:sz w:val="19"/>
        </w:rPr>
        <w:t>Overall Reaction</w:t>
      </w:r>
      <w:r>
        <w:rPr>
          <w:rFonts w:ascii="MTSYN2" w:hAnsi="MTSYN2" w:eastAsia="MTSYN2"/>
          <w:b w:val="0"/>
          <w:i w:val="0"/>
          <w:color w:val="000000"/>
          <w:sz w:val="19"/>
        </w:rPr>
        <w:t xml:space="preserve"> :</w:t>
      </w:r>
      <w:r>
        <w:rPr>
          <w:rFonts w:ascii="TimesNewRomanPSMT3" w:hAnsi="TimesNewRomanPSMT3" w:eastAsia="TimesNewRomanPSMT3"/>
          <w:b w:val="0"/>
          <w:i w:val="0"/>
          <w:color w:val="000000"/>
          <w:sz w:val="19"/>
        </w:rPr>
        <w:t xml:space="preserve"> 2H</w:t>
      </w:r>
      <w:r>
        <w:rPr>
          <w:w w:val="102.7571405683245"/>
          <w:rFonts w:ascii="TimesNewRomanPSMT3" w:hAnsi="TimesNewRomanPSMT3" w:eastAsia="TimesNewRomanPSMT3"/>
          <w:b w:val="0"/>
          <w:i w:val="0"/>
          <w:color w:val="000000"/>
          <w:sz w:val="14"/>
        </w:rPr>
        <w:t>2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(</w:t>
      </w:r>
      <w:r>
        <w:rPr>
          <w:w w:val="102.7571405683245"/>
          <w:rFonts w:ascii="TimesNewRomanPSMT3" w:hAnsi="TimesNewRomanPSMT3" w:eastAsia="TimesNewRomanPSMT3"/>
          <w:b w:val="0"/>
          <w:i w:val="0"/>
          <w:color w:val="000000"/>
          <w:sz w:val="14"/>
        </w:rPr>
        <w:t>g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)</w:t>
      </w:r>
      <w:r>
        <w:rPr>
          <w:rFonts w:ascii="MTSYN2" w:hAnsi="MTSYN2" w:eastAsia="MTSYN2"/>
          <w:b w:val="0"/>
          <w:i w:val="0"/>
          <w:color w:val="000000"/>
          <w:sz w:val="19"/>
        </w:rPr>
        <w:t xml:space="preserve"> +</w:t>
      </w:r>
      <w:r>
        <w:rPr>
          <w:rFonts w:ascii="TimesNewRomanPSMT3" w:hAnsi="TimesNewRomanPSMT3" w:eastAsia="TimesNewRomanPSMT3"/>
          <w:b w:val="0"/>
          <w:i w:val="0"/>
          <w:color w:val="000000"/>
          <w:sz w:val="19"/>
        </w:rPr>
        <w:t xml:space="preserve"> O</w:t>
      </w:r>
      <w:r>
        <w:rPr>
          <w:w w:val="102.7571405683245"/>
          <w:rFonts w:ascii="TimesNewRomanPSMT3" w:hAnsi="TimesNewRomanPSMT3" w:eastAsia="TimesNewRomanPSMT3"/>
          <w:b w:val="0"/>
          <w:i w:val="0"/>
          <w:color w:val="000000"/>
          <w:sz w:val="14"/>
        </w:rPr>
        <w:t>2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(</w:t>
      </w:r>
      <w:r>
        <w:rPr>
          <w:w w:val="102.7571405683245"/>
          <w:rFonts w:ascii="TimesNewRomanPSMT3" w:hAnsi="TimesNewRomanPSMT3" w:eastAsia="TimesNewRomanPSMT3"/>
          <w:b w:val="0"/>
          <w:i w:val="0"/>
          <w:color w:val="000000"/>
          <w:sz w:val="14"/>
        </w:rPr>
        <w:t>g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)</w:t>
      </w:r>
      <w:r>
        <w:rPr>
          <w:rFonts w:ascii="MTSYN2" w:hAnsi="MTSYN2" w:eastAsia="MTSYN2"/>
          <w:b w:val="0"/>
          <w:i w:val="0"/>
          <w:color w:val="000000"/>
          <w:sz w:val="19"/>
        </w:rPr>
        <w:t xml:space="preserve"> →</w:t>
      </w:r>
      <w:r>
        <w:rPr>
          <w:rFonts w:ascii="TimesNewRomanPSMT3" w:hAnsi="TimesNewRomanPSMT3" w:eastAsia="TimesNewRomanPSMT3"/>
          <w:b w:val="0"/>
          <w:i w:val="0"/>
          <w:color w:val="000000"/>
          <w:sz w:val="19"/>
        </w:rPr>
        <w:t>2H</w:t>
      </w:r>
      <w:r>
        <w:rPr>
          <w:w w:val="102.7571405683245"/>
          <w:rFonts w:ascii="TimesNewRomanPSMT3" w:hAnsi="TimesNewRomanPSMT3" w:eastAsia="TimesNewRomanPSMT3"/>
          <w:b w:val="0"/>
          <w:i w:val="0"/>
          <w:color w:val="000000"/>
          <w:sz w:val="14"/>
        </w:rPr>
        <w:t>2</w:t>
      </w:r>
      <w:r>
        <w:rPr>
          <w:rFonts w:ascii="TimesNewRomanPSMT3" w:hAnsi="TimesNewRomanPSMT3" w:eastAsia="TimesNewRomanPSMT3"/>
          <w:b w:val="0"/>
          <w:i w:val="0"/>
          <w:color w:val="000000"/>
          <w:sz w:val="19"/>
        </w:rPr>
        <w:t>O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(</w:t>
      </w:r>
      <w:r>
        <w:rPr>
          <w:w w:val="102.7571405683245"/>
          <w:rFonts w:ascii="TimesNewRomanPSMT3" w:hAnsi="TimesNewRomanPSMT3" w:eastAsia="TimesNewRomanPSMT3"/>
          <w:b w:val="0"/>
          <w:i w:val="0"/>
          <w:color w:val="000000"/>
          <w:sz w:val="14"/>
        </w:rPr>
        <w:t>g</w:t>
      </w:r>
      <w:r>
        <w:rPr>
          <w:w w:val="102.7571405683245"/>
          <w:rFonts w:ascii="MTMI" w:hAnsi="MTMI" w:eastAsia="MTMI"/>
          <w:b w:val="0"/>
          <w:i w:val="0"/>
          <w:color w:val="000000"/>
          <w:sz w:val="14"/>
        </w:rPr>
        <w:t>)</w:t>
      </w:r>
      <w:r>
        <w:rPr>
          <w:rFonts w:ascii="TimesNewRomanPSMT3" w:hAnsi="TimesNewRomanPSMT3" w:eastAsia="TimesNewRomanPSMT3"/>
          <w:b w:val="0"/>
          <w:i w:val="0"/>
          <w:color w:val="000000"/>
          <w:sz w:val="19"/>
        </w:rPr>
        <w:t xml:space="preserve">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(3)</w:t>
      </w:r>
    </w:p>
    <w:p>
      <w:pPr>
        <w:autoSpaceDN w:val="0"/>
        <w:autoSpaceDE w:val="0"/>
        <w:widowControl/>
        <w:spacing w:line="266" w:lineRule="auto" w:before="24" w:after="0"/>
        <w:ind w:left="154" w:right="0" w:firstLine="22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Apart from the anode, cathode and electrolyte, an intercon-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nect is used to connect the individual cells in series to gener-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ate useful amounts of power. In simple terms, the intercon-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nect material is required to combine the current generated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individual cells, and thus, should ideally possess good elec-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tronic conductivity. In addition, it should be chemically stable </w:t>
      </w:r>
    </w:p>
    <w:p>
      <w:pPr>
        <w:autoSpaceDN w:val="0"/>
        <w:autoSpaceDE w:val="0"/>
        <w:widowControl/>
        <w:spacing w:line="235" w:lineRule="auto" w:before="280" w:after="0"/>
        <w:ind w:left="0" w:right="230" w:firstLine="0"/>
        <w:jc w:val="right"/>
      </w:pPr>
      <w:r>
        <w:rPr>
          <w:rFonts w:ascii="" w:hAnsi="" w:eastAsia=""/>
          <w:b w:val="0"/>
          <w:i w:val="0"/>
          <w:color w:val="FFFFFF"/>
          <w:sz w:val="16"/>
        </w:rPr>
        <w:t>Vol.:(0123456789)</w:t>
      </w:r>
    </w:p>
    <w:p>
      <w:pPr>
        <w:autoSpaceDN w:val="0"/>
        <w:autoSpaceDE w:val="0"/>
        <w:widowControl/>
        <w:spacing w:line="248" w:lineRule="exact" w:before="180" w:after="0"/>
        <w:ind w:left="982" w:right="0" w:firstLine="0"/>
        <w:jc w:val="left"/>
      </w:pPr>
      <w:r>
        <w:rPr>
          <w:rFonts w:ascii="Futura" w:hAnsi="Futura" w:eastAsia="Futura"/>
          <w:b w:val="0"/>
          <w:i w:val="0"/>
          <w:color w:val="003E6F"/>
          <w:sz w:val="17"/>
        </w:rPr>
        <w:t>MRS COMMUNICATIONS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VOLUME XX </w:t>
      </w:r>
      <w:r>
        <w:rPr>
          <w:rFonts w:ascii="Futura" w:hAnsi="Futura" w:eastAsia="Futura"/>
          <w:b w:val="0"/>
          <w:i w:val="0"/>
          <w:color w:val="003E6F"/>
          <w:sz w:val="21"/>
        </w:rPr>
        <w:t xml:space="preserve">· 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ISSUE xx 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8"/>
        </w:rPr>
        <w:t>www.mrs.org/mrc</w:t>
      </w:r>
      <w:r>
        <w:rPr>
          <w:rFonts w:ascii="HelveticaNeueLTStd" w:hAnsi="HelveticaNeueLTStd" w:eastAsia="HelveticaNeueLTStd"/>
          <w:b w:val="0"/>
          <w:i w:val="0"/>
          <w:color w:val="003E6F"/>
          <w:sz w:val="20"/>
        </w:rPr>
        <w:t>1</w:t>
      </w:r>
    </w:p>
    <w:p>
      <w:pPr>
        <w:sectPr>
          <w:type w:val="nextColumn"/>
          <w:pgSz w:w="11906" w:h="15818"/>
          <w:pgMar w:top="250" w:right="858" w:bottom="224" w:left="1020" w:header="720" w:footer="720" w:gutter="0"/>
          <w:cols w:num="2" w:equalWidth="0">
            <w:col w:w="4958" w:space="0"/>
            <w:col w:w="50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953769</wp:posOffset>
            </wp:positionV>
            <wp:extent cx="2880360" cy="2535936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359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3213100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2336800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1701800</wp:posOffset>
            </wp:positionV>
            <wp:extent cx="381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1727200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1727200</wp:posOffset>
            </wp:positionV>
            <wp:extent cx="508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1663700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1651000</wp:posOffset>
            </wp:positionV>
            <wp:extent cx="508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1651000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1651000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1574800</wp:posOffset>
            </wp:positionV>
            <wp:extent cx="381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1562100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1549400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1536700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1524000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1511300</wp:posOffset>
            </wp:positionV>
            <wp:extent cx="76200" cy="762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1498600</wp:posOffset>
            </wp:positionV>
            <wp:extent cx="635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1485900</wp:posOffset>
            </wp:positionV>
            <wp:extent cx="76200" cy="1016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1473200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1473200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1473200</wp:posOffset>
            </wp:positionV>
            <wp:extent cx="63500" cy="635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1689100</wp:posOffset>
            </wp:positionV>
            <wp:extent cx="25400" cy="254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1612900</wp:posOffset>
            </wp:positionV>
            <wp:extent cx="25400" cy="254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1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61100" cy="431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322"/>
        <w:sectPr>
          <w:pgSz w:w="11906" w:h="15818"/>
          <w:pgMar w:top="250" w:right="962" w:bottom="230" w:left="87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8" w:lineRule="exact" w:before="4196" w:after="0"/>
        <w:ind w:left="156" w:right="288" w:firstLine="0"/>
        <w:jc w:val="left"/>
      </w:pP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 xml:space="preserve">Figure 1. 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Schematic diagram highlighting the key features of the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operation of a solid-oxide fuel cell. Reproduced with permission </w:t>
      </w:r>
    </w:p>
    <w:p>
      <w:pPr>
        <w:autoSpaceDN w:val="0"/>
        <w:autoSpaceDE w:val="0"/>
        <w:widowControl/>
        <w:spacing w:line="186" w:lineRule="exact" w:before="4" w:after="0"/>
        <w:ind w:left="156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from Ref.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13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66" w:lineRule="auto" w:before="420" w:after="0"/>
        <w:ind w:left="15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concerning both anode and cathode materials, and stable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both oxidising and reducing atmospheres. In the following sec-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tions of the paper, requirements for different components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prominent materials families fulfilling the said requirements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will be reviewed in detail.</w:t>
      </w:r>
    </w:p>
    <w:p>
      <w:pPr>
        <w:autoSpaceDN w:val="0"/>
        <w:autoSpaceDE w:val="0"/>
        <w:widowControl/>
        <w:spacing w:line="240" w:lineRule="exact" w:before="524" w:after="0"/>
        <w:ind w:left="156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Materials for cathodes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cathode, being the site for the oxygen reduction reaction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(ORR), is highly instrumental in determining the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of a cell. As electrons are necessary for the reduction of oxy-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gen molecules, superior electronic conductivity of the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material is the primary requirement. Low or no chemical reac-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tion with other cell components, compatible thermal expansion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coefficient (TEC), and high catalytic activity for the reduction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an oxygen molecule are other requirements for the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material. The porous microstructure of the cathode material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further enhances the ORR as it ensures the access of oxygen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molecules to the cathode surface, and thus, extends the active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region beyond the restricted triple phase boundary (TPB).</w:t>
      </w:r>
    </w:p>
    <w:p>
      <w:pPr>
        <w:autoSpaceDN w:val="0"/>
        <w:autoSpaceDE w:val="0"/>
        <w:widowControl/>
        <w:spacing w:line="266" w:lineRule="auto" w:before="0" w:after="0"/>
        <w:ind w:left="156" w:right="144" w:firstLine="2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pure electronic conducting cathode materials such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MnO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(LSM), ORR is limited to a very narrow TPB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region, the air/cathode/electrolyte interface (Fig.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). The air/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electrolyte interface is immaterial as far as the ORR rate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concerned because the commonly used electrolyte materials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are catalytically inactive.</w:t>
      </w:r>
    </w:p>
    <w:p>
      <w:pPr>
        <w:autoSpaceDN w:val="0"/>
        <w:autoSpaceDE w:val="0"/>
        <w:widowControl/>
        <w:spacing w:line="266" w:lineRule="auto" w:before="0" w:after="0"/>
        <w:ind w:left="156" w:right="144" w:firstLine="2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Although there is the technical possibility of ORR occur-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ring at the air/cathode interface because of insignificant ionic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conduction of pure electronic conductor cathode materials,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oxide ions produced fails to migrate to the anode for use-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ful work. Thus, the practical region for the ORR to occur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such materials is a very narrow TPB. It is here that so-called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mixed-ionic electronic conducting (MIEC) cathode materials </w:t>
      </w:r>
    </w:p>
    <w:p>
      <w:pPr>
        <w:autoSpaceDN w:val="0"/>
        <w:autoSpaceDE w:val="0"/>
        <w:widowControl/>
        <w:spacing w:line="248" w:lineRule="exact" w:before="446" w:after="0"/>
        <w:ind w:left="0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3E6F"/>
          <w:sz w:val="20"/>
        </w:rPr>
        <w:t>2</w:t>
      </w:r>
      <w:r>
        <w:rPr>
          <w:rFonts w:ascii="Futura" w:hAnsi="Futura" w:eastAsia="Futura"/>
          <w:b w:val="0"/>
          <w:i w:val="0"/>
          <w:color w:val="003E6F"/>
          <w:sz w:val="17"/>
        </w:rPr>
        <w:t>MRS COMMUNICATIONS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VOLUME XX </w:t>
      </w:r>
      <w:r>
        <w:rPr>
          <w:rFonts w:ascii="Futura" w:hAnsi="Futura" w:eastAsia="Futura"/>
          <w:b w:val="0"/>
          <w:i w:val="0"/>
          <w:color w:val="003E6F"/>
          <w:sz w:val="21"/>
        </w:rPr>
        <w:t xml:space="preserve">· 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ISSUE xx 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8"/>
        </w:rPr>
        <w:t>www.mrs.org/mrc</w:t>
      </w:r>
    </w:p>
    <w:p>
      <w:pPr>
        <w:sectPr>
          <w:type w:val="continuous"/>
          <w:pgSz w:w="11906" w:h="15818"/>
          <w:pgMar w:top="250" w:right="962" w:bottom="230" w:left="874" w:header="720" w:footer="720" w:gutter="0"/>
          <w:cols w:num="2" w:equalWidth="0">
            <w:col w:w="5104" w:space="0"/>
            <w:col w:w="49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0360" cy="18630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63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02" w:after="0"/>
        <w:ind w:left="154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 xml:space="preserve">Figure 2. 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Schematic representation of the oxygen reaction at MIEC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cathode material. Reproduced with permission from Ref.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15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66" w:lineRule="auto" w:before="420" w:after="0"/>
        <w:ind w:left="1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assume crucial importance. The mixed conductivity of MIEC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cathode materials lets the system to extend the otherwise nar-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row ORR region and, thus, increase the efficiency of the 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(Fig.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).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17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In this regard, the last decade has seen signifi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cant research activity in developing MIEC materials for SOFC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cathodes based on perovskites, double perovskites, Ruddles-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den–Popper phases and other layered oxide materials.</w:t>
      </w:r>
    </w:p>
    <w:p>
      <w:pPr>
        <w:autoSpaceDN w:val="0"/>
        <w:tabs>
          <w:tab w:pos="382" w:val="left"/>
        </w:tabs>
        <w:autoSpaceDE w:val="0"/>
        <w:widowControl/>
        <w:spacing w:line="240" w:lineRule="exact" w:before="330" w:after="0"/>
        <w:ind w:left="154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Substituted lanthanum manganite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 high-temperature SOFCs,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MnO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3-δ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(LSM),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material of choice for cathodes and has, thus, been explored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extensively.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material adopts the perovskite structure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doping with strontium replaces lanthanum in the structure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enhances the electronic conductivity of the material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increasing the hole carriers.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20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Doping the material with Sr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results in the oxidation of ­Mn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to ­Mn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leaves the oxygen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content of the material intact. Thus, the material achieves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superior electronic conductivity, in the range of 200–300 ­Scm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−1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at 900°C.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But because of the limits imposed by either reac-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tivity with other cell components and/or TEC compatibility,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doping level is usually kept under 30 mol per cent.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increasing Sr levels beyond this limit, TEC ­incompatibility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and reactions with other cell components such as the forma-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tion of ­SrZrO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Zr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7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with YSZ electrolyte have been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observed (Table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).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21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22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major challenge, however, with LSM as a cathode has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been its poor oxide-ion conductivity, of the order of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–7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—10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–8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800°C.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38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formation of a composite of LSM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with a material of high ionic conductivity has been explored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the hope that this limitation of low ionic conductivity could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be resolved.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39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Ostergard et al</w:t>
      </w:r>
      <w:r>
        <w:rPr>
          <w:rFonts w:ascii="TimesNewRomanPS" w:hAnsi="TimesNewRomanPS" w:eastAsia="TimesNewRomanPS"/>
          <w:b w:val="0"/>
          <w:i/>
          <w:color w:val="000000"/>
          <w:sz w:val="19"/>
        </w:rPr>
        <w:t>.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by using the composites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LSM + YSZ reduced area-specific resistance (ASR) from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2.7 Ω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obtained by using pure LSM to 0.5 Ωcm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for 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LSM + YSZ composite operating at 1000°C.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39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However,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because of long-term thermal and mechanical degradation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problems with LSM cathode materials and their low inher-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ent oxide-ion conductivity, a search for better materials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IT-SOFCs continues. The problem arises from the fact that at </w:t>
      </w:r>
    </w:p>
    <w:p>
      <w:pPr>
        <w:sectPr>
          <w:type w:val="nextColumn"/>
          <w:pgSz w:w="11906" w:h="15818"/>
          <w:pgMar w:top="250" w:right="962" w:bottom="230" w:left="874" w:header="720" w:footer="720" w:gutter="0"/>
          <w:cols w:num="2" w:equalWidth="0">
            <w:col w:w="5104" w:space="0"/>
            <w:col w:w="496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172" w:firstLine="0"/>
        <w:jc w:val="right"/>
      </w:pPr>
      <w:r>
        <w:rPr>
          <w:rFonts w:ascii="Futura" w:hAnsi="Futura" w:eastAsia="Futura"/>
          <w:b/>
          <w:i w:val="0"/>
          <w:color w:val="564281"/>
          <w:sz w:val="24"/>
        </w:rPr>
        <w:t>Prospectiv</w:t>
      </w:r>
      <w:r>
        <w:rPr>
          <w:rFonts w:ascii="Futura" w:hAnsi="Futura" w:eastAsia="Futura"/>
          <w:b/>
          <w:i w:val="0"/>
          <w:color w:val="564281"/>
          <w:sz w:val="24"/>
        </w:rPr>
        <w:t>e</w:t>
      </w:r>
    </w:p>
    <w:p>
      <w:pPr>
        <w:autoSpaceDN w:val="0"/>
        <w:autoSpaceDE w:val="0"/>
        <w:widowControl/>
        <w:spacing w:line="240" w:lineRule="auto" w:before="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61100" cy="76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306" w:after="82"/>
        <w:ind w:left="1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000000"/>
          <w:sz w:val="17"/>
        </w:rPr>
        <w:t xml:space="preserve">Table I.  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Properties of some relevant SOFC cathode materials.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2507"/>
        <w:gridCol w:w="2507"/>
        <w:gridCol w:w="2507"/>
        <w:gridCol w:w="2507"/>
      </w:tblGrid>
      <w:tr>
        <w:trPr>
          <w:trHeight w:hRule="exact" w:val="320"/>
        </w:trPr>
        <w:tc>
          <w:tcPr>
            <w:tcW w:type="dxa" w:w="1976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Material composition</w:t>
            </w:r>
          </w:p>
        </w:tc>
        <w:tc>
          <w:tcPr>
            <w:tcW w:type="dxa" w:w="2820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Total conductivity (S/cm)</w:t>
            </w:r>
          </w:p>
        </w:tc>
        <w:tc>
          <w:tcPr>
            <w:tcW w:type="dxa" w:w="2800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Ionic conductivity (S/cm)</w:t>
            </w:r>
          </w:p>
        </w:tc>
        <w:tc>
          <w:tcPr>
            <w:tcW w:type="dxa" w:w="2262"/>
            <w:tcBorders>
              <w:top w:sz="4.535999774932861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TEC (× ­10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–6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 xml:space="preserve"> °C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)</w:t>
            </w:r>
          </w:p>
        </w:tc>
      </w:tr>
      <w:tr>
        <w:trPr>
          <w:trHeight w:hRule="exact" w:val="286"/>
        </w:trPr>
        <w:tc>
          <w:tcPr>
            <w:tcW w:type="dxa" w:w="1976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2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LaMnO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282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32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71 (700°C)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48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226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32" w:after="0"/>
              <w:ind w:left="3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9.5–10.75 (25–1000 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45"/>
        </w:trPr>
        <w:tc>
          <w:tcPr>
            <w:tcW w:type="dxa" w:w="19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Sr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MnO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3−δ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150(500°C)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4.2 × ­10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–10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 xml:space="preserve"> (750°C)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11.8 (30–1000 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35"/>
        </w:trPr>
        <w:tc>
          <w:tcPr>
            <w:tcW w:type="dxa" w:w="19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Sr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MnO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3−δ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125 (700°C)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27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2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11.7–12.2 (25–1000 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40"/>
        </w:trPr>
        <w:tc>
          <w:tcPr>
            <w:tcW w:type="dxa" w:w="19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Sr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CoO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3−δ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1084 (1000°C)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0.22 (800°C)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20.5 (30–1000°C)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40"/>
        </w:trPr>
        <w:tc>
          <w:tcPr>
            <w:tcW w:type="dxa" w:w="19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auto" w:before="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Sr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CoO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3−δ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1291 (1000°C)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4.9 × ­10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–4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 xml:space="preserve"> (750°C)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19.7 (100–900°C)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40"/>
        </w:trPr>
        <w:tc>
          <w:tcPr>
            <w:tcW w:type="dxa" w:w="19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Sr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Co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Fe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3−δ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320 (700°C)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8 × ­10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–3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 xml:space="preserve"> (800°C)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29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15.3 (100–600°C)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44"/>
        </w:trPr>
        <w:tc>
          <w:tcPr>
            <w:tcW w:type="dxa" w:w="19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NiO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4+δ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85 (700°C)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4 × ­10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–2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 xml:space="preserve"> (800°C)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13.8 (75–900°C)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40"/>
        </w:trPr>
        <w:tc>
          <w:tcPr>
            <w:tcW w:type="dxa" w:w="19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0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La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NiO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10±δ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87 (800°C)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22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11.5 (250–800°C)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  <w:tr>
        <w:trPr>
          <w:trHeight w:hRule="exact" w:val="278"/>
        </w:trPr>
        <w:tc>
          <w:tcPr>
            <w:tcW w:type="dxa" w:w="1976"/>
            <w:tcBorders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8" w:after="0"/>
              <w:ind w:left="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Pr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NiO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10±δ</w:t>
            </w:r>
          </w:p>
        </w:tc>
        <w:tc>
          <w:tcPr>
            <w:tcW w:type="dxa" w:w="2820"/>
            <w:tcBorders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90 (600°C)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37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  <w:tc>
          <w:tcPr>
            <w:tcW w:type="dxa" w:w="2800"/>
            <w:tcBorders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8" w:after="0"/>
              <w:ind w:left="6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–</w:t>
            </w:r>
          </w:p>
        </w:tc>
        <w:tc>
          <w:tcPr>
            <w:tcW w:type="dxa" w:w="2262"/>
            <w:tcBorders>
              <w:bottom w:sz="4.53599977493286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3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>12 (25–1000°C)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[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2"/>
              </w:rPr>
              <w:t>37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]</w:t>
            </w:r>
          </w:p>
        </w:tc>
      </w:tr>
    </w:tbl>
    <w:p>
      <w:pPr>
        <w:autoSpaceDN w:val="0"/>
        <w:autoSpaceDE w:val="0"/>
        <w:widowControl/>
        <w:spacing w:line="14" w:lineRule="exact" w:before="0" w:after="570"/>
        <w:ind w:left="0" w:right="0"/>
      </w:pPr>
    </w:p>
    <w:p>
      <w:pPr>
        <w:sectPr>
          <w:pgSz w:w="11906" w:h="15818"/>
          <w:pgMar w:top="328" w:right="858" w:bottom="224" w:left="10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0"/>
        <w:ind w:left="10" w:right="15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high operating temperatures, polarisation losses are negligible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but once the temperature is lowered to the intermediate range,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polarisation losses become significant and, thus, negatively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impact the cell efficiency by decreasing the kinetics associated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with ORR and charge transport at the cell cathode. The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materials based on LSM further suffer from a severe deleterious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problem of strontium segregation, which will be discussed later.</w:t>
      </w:r>
    </w:p>
    <w:p>
      <w:pPr>
        <w:autoSpaceDN w:val="0"/>
        <w:tabs>
          <w:tab w:pos="236" w:val="left"/>
        </w:tabs>
        <w:autoSpaceDE w:val="0"/>
        <w:widowControl/>
        <w:spacing w:line="240" w:lineRule="exact" w:before="356" w:after="0"/>
        <w:ind w:left="10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Substituted lanthanum cobaltite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LaCoO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is again a perovskite like LSM and possesses better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electronic conductivity than LSM.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main problem, how-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ever, has been the ­stability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of this material which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tackled by doping the system with Sr which replaces Ln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structure to give the strontium-substituted cobaltite perovskites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(LSC: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).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30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LSC is a mixed conductor mate-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rial and has shown good ionic conductivity and ORR catalytic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properties.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41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major issue with LSC, however, is its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high TEC, of the order of 20 ×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­K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. When this consider-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ably high TEC is compared to the commonly used electrolytes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like YSZ and CGO (~12 ×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­K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), compatibility issues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other cell components come to the fore and render the material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problematic.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 has been reported that the high TEC of LSC cathodes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originates from octahedrally coordinated cobalt ion transitions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between low- and high-spin states of the ­Co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­3d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ion.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light of this knowledge, Co has been substituted with Fe to pro-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duce the state-of-the-art cathode material,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Fe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(LSCF).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Fe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0.8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(LSCF6428) is the most prom-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ising and studied composition of these materials. The electronic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conductivity of this material is significant, ranging from 350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250 S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in 600–800 temperature range °C.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This signifi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cant electronic conductivity of the material originates from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mixed valencies ­Fe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/Fe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­Co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/Co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, which is essentially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result of La substitution by Sr. Equally important benefit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this substitution is the formation of oxygen vacancies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LSCF system, which ultimately contributes to the ionic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conductivity of this MIEC cathode material, with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S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−1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ionic conductivity at 800°C being reported by Teraoka et al</w:t>
      </w:r>
      <w:r>
        <w:rPr>
          <w:rFonts w:ascii="TimesNewRomanPS" w:hAnsi="TimesNewRomanPS" w:eastAsia="TimesNewRomanPS"/>
          <w:b w:val="0"/>
          <w:i/>
          <w:color w:val="000000"/>
          <w:sz w:val="19"/>
        </w:rPr>
        <w:t>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46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Further, the material also has TEC in the range of 15 ×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­K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which is in the compatible range of other cell components.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</w:p>
    <w:p>
      <w:pPr>
        <w:sectPr>
          <w:type w:val="continuous"/>
          <w:pgSz w:w="11906" w:h="15818"/>
          <w:pgMar w:top="328" w:right="858" w:bottom="224" w:left="1020" w:header="720" w:footer="720" w:gutter="0"/>
          <w:cols w:num="2" w:equalWidth="0">
            <w:col w:w="4958" w:space="0"/>
            <w:col w:w="5070" w:space="0"/>
          </w:cols>
          <w:docGrid w:linePitch="360"/>
        </w:sectPr>
      </w:pPr>
    </w:p>
    <w:p>
      <w:pPr>
        <w:autoSpaceDN w:val="0"/>
        <w:tabs>
          <w:tab w:pos="382" w:val="left"/>
        </w:tabs>
        <w:autoSpaceDE w:val="0"/>
        <w:widowControl/>
        <w:spacing w:line="264" w:lineRule="auto" w:before="0" w:after="0"/>
        <w:ind w:left="1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primary limitation of LSCF6428 occurs when it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used with the commonly used electrolyte because it reacts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with YSZ and negatively impacts cell performance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time. This reduces the flexibility of this promising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material, and thus, it has primarily been used with the CGO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electrolyte, with which it, fortunately, does not react.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47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However, because of the common use of the YSZ electrolyte,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several attempts have been made to make LSCF6428 worka-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ble with YSZ. A common approach to tackle deleterious reac-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tivity has been to incorporate the ceria barrier layer between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electrolyte and cathode.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This has also helped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improving the relatively higher ASR that pure LSCF affords,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0.3 Ω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700°C,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which is well above the target value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of 0.15 Ω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51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Dusastre et al</w:t>
      </w:r>
      <w:r>
        <w:rPr>
          <w:rFonts w:ascii="TimesNewRomanPS" w:hAnsi="TimesNewRomanPS" w:eastAsia="TimesNewRomanPS"/>
          <w:b w:val="0"/>
          <w:i/>
          <w:color w:val="000000"/>
          <w:sz w:val="19"/>
        </w:rPr>
        <w:t>.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reduced the ASR of pure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LSCF by making composites of LSCF with CGO, reporting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an ASR of 0.16 Ω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700°C, almost halving the polarisa-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tion resistance.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Wang and Mogensen reduced it further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remarkable value of 0.026 Ω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700°C with CGO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0.12 Ω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700°C with YSZ electrolyte coated with a thin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layer of CGO.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But because of the complexity associated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with the use of composites as cathodes, there is the possibil-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ity of a reaction between CGO and YSZ to form the less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ionic conducting phase, (Ce, Zr, Gd, Y)O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it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reported that such phases are formed and are responsible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reducing the cell performance.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Above all, the main problem with the promising LSCF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cathode materials is their degradation with time during 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operation. This problem chiefly manifests itself in strontium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segregation and chromium poisoning. Both of these problems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drastically reduce cell performance. When in operation, Sr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selectively segregates towards the cell surface to form a SrO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layer at the cathode surface, which effectively stops the ORR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from occurring at the air/cathode interface.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56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chromium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poisoning problem emanates from the necessity of using inter-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connects to connect the individual cells in series to generate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required amounts of power for practical purposes. The com-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monly used material for interconnects contains chromium,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it vaporises during cell operation. The harmful impact of chro-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mium vapours comes from its deposition on cathode materials,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thereby degrading their performance with time.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57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</w:p>
    <w:p>
      <w:pPr>
        <w:autoSpaceDN w:val="0"/>
        <w:autoSpaceDE w:val="0"/>
        <w:widowControl/>
        <w:spacing w:line="248" w:lineRule="exact" w:before="576" w:after="0"/>
        <w:ind w:left="982" w:right="0" w:firstLine="0"/>
        <w:jc w:val="left"/>
      </w:pPr>
      <w:r>
        <w:rPr>
          <w:rFonts w:ascii="Futura" w:hAnsi="Futura" w:eastAsia="Futura"/>
          <w:b w:val="0"/>
          <w:i w:val="0"/>
          <w:color w:val="003E6F"/>
          <w:sz w:val="17"/>
        </w:rPr>
        <w:t>MRS COMMUNICATIONS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VOLUME XX </w:t>
      </w:r>
      <w:r>
        <w:rPr>
          <w:rFonts w:ascii="Futura" w:hAnsi="Futura" w:eastAsia="Futura"/>
          <w:b w:val="0"/>
          <w:i w:val="0"/>
          <w:color w:val="003E6F"/>
          <w:sz w:val="21"/>
        </w:rPr>
        <w:t xml:space="preserve">· 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ISSUE xx 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8"/>
        </w:rPr>
        <w:t>www.mrs.org/mrc</w:t>
      </w:r>
      <w:r>
        <w:rPr>
          <w:rFonts w:ascii="HelveticaNeueLTStd" w:hAnsi="HelveticaNeueLTStd" w:eastAsia="HelveticaNeueLTStd"/>
          <w:b w:val="0"/>
          <w:i w:val="0"/>
          <w:color w:val="003E6F"/>
          <w:sz w:val="20"/>
        </w:rPr>
        <w:t>3</w:t>
      </w:r>
    </w:p>
    <w:p>
      <w:pPr>
        <w:sectPr>
          <w:type w:val="nextColumn"/>
          <w:pgSz w:w="11906" w:h="15818"/>
          <w:pgMar w:top="328" w:right="858" w:bottom="224" w:left="1020" w:header="720" w:footer="720" w:gutter="0"/>
          <w:cols w:num="2" w:equalWidth="0">
            <w:col w:w="4958" w:space="0"/>
            <w:col w:w="50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61100" cy="431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0"/>
        <w:sectPr>
          <w:pgSz w:w="11906" w:h="15818"/>
          <w:pgMar w:top="250" w:right="960" w:bottom="230" w:left="87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0"/>
        <w:ind w:left="156" w:right="144" w:firstLine="2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There have been various attempts to resolve this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degradation but not with profound success yet. Use of electri-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cal polarisation to de-segregate the ­strontium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use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acid-etching to reduce the formation of passivating (Ce, Zr, Gd,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Y)O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­layers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56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also an attempt to stop Cr poisoning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by ­coating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61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steel interconnects have been used but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less success.</w:t>
      </w:r>
    </w:p>
    <w:p>
      <w:pPr>
        <w:autoSpaceDN w:val="0"/>
        <w:autoSpaceDE w:val="0"/>
        <w:widowControl/>
        <w:spacing w:line="266" w:lineRule="auto" w:before="0" w:after="0"/>
        <w:ind w:left="156" w:right="154" w:firstLine="22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Another related cathode composition is the doped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lanthanum ferrite; ­LaxSr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Fe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(LSFN),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Fe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0.8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(6428) as the optimum composition.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material shows electronic conductivity of 300 S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900°C with a reasonable TEC of 14 ×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­K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but they also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come with their problems of forming insulating phases such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as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Zr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7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­SrCoO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the interface when used with YSZ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 an electrolyte, which further degrades the performance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cell.</w:t>
      </w:r>
    </w:p>
    <w:p>
      <w:pPr>
        <w:autoSpaceDN w:val="0"/>
        <w:tabs>
          <w:tab w:pos="382" w:val="left"/>
        </w:tabs>
        <w:autoSpaceDE w:val="0"/>
        <w:widowControl/>
        <w:spacing w:line="264" w:lineRule="auto" w:before="0" w:after="0"/>
        <w:ind w:left="156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Another class of materials, derived from the perovskite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structure are the oxide materials known as double perovskites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with the general formula AA’B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5+δ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where A is a rare-earth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cation, A’ is an alkaline-earth metal cation, and B is a transition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metal cation. In these phases, there is cation ordering of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rare-earth and alkaline-earth metal layers along the (001) axis.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This leads to a doubling of the c parameter when compared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c parameter of the parent perovskite phase.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material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further is an oxygen-deficient system with oxygen vacancies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mainly located in the rare-earth layer. Two compositions,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particular, ­GdBaCo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5+δ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(GBCO) and ­PrBaCo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5+δ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(PBCO),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have been studied extensively.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67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materials have MIEC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properties but suffer from relatively lower performance,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thus, composites of GBCO too have been developed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increased electrochemical performance.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LSCF is the most promising material for IT-SOFC cath-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odes but because of the degradation issues and strontium seg-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regation discussed earlier, the search for alternative IT-SOFC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cathode materials continues. One family suggested as potential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IT-SOFC cathodes are the Ruddlesden–Popper phase materi-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als. One of the materials of this family,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adopts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­K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NiF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-type structure and has been widely studied because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its remarkable oxide-ion conductivity.</w:t>
      </w:r>
    </w:p>
    <w:p>
      <w:pPr>
        <w:autoSpaceDN w:val="0"/>
        <w:autoSpaceDE w:val="0"/>
        <w:widowControl/>
        <w:spacing w:line="240" w:lineRule="exact" w:before="244" w:after="0"/>
        <w:ind w:left="156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Ruddlesden–Popper phases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S. N. Ruddlesden and P. Popper reported a new class of mate-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rials with the overall formula of ­A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n+1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BnO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3n+1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, in 1958.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69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structure consists of ­nABO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perovskite layers alternating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between two AO rock-salt ­layers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the number of per-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ovskite polyhedral units packed between rock-salt units of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structure decides the phase of the material (Fig.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).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71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Since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perovskite structure allow accommodating oxygen defects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Ruddlesden–Popper (RP) phases contain perovskite layer/s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 their structure, it is one of the reasons behind the expec-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tation that these materials could work as promising oxygen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conductors. It indeed has been found to be true; it is the unique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structural features of lower-order phases such as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(LNO), ­Pr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(PNO), and ­Nd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(NNO) which per-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mit them to accommodate a substantial amount of interstitial </w:t>
      </w:r>
    </w:p>
    <w:p>
      <w:pPr>
        <w:autoSpaceDN w:val="0"/>
        <w:autoSpaceDE w:val="0"/>
        <w:widowControl/>
        <w:spacing w:line="248" w:lineRule="exact" w:before="456" w:after="0"/>
        <w:ind w:left="0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3E6F"/>
          <w:sz w:val="20"/>
        </w:rPr>
        <w:t>4</w:t>
      </w:r>
      <w:r>
        <w:rPr>
          <w:rFonts w:ascii="Futura" w:hAnsi="Futura" w:eastAsia="Futura"/>
          <w:b w:val="0"/>
          <w:i w:val="0"/>
          <w:color w:val="003E6F"/>
          <w:sz w:val="17"/>
        </w:rPr>
        <w:t>MRS COMMUNICATIONS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VOLUME XX </w:t>
      </w:r>
      <w:r>
        <w:rPr>
          <w:rFonts w:ascii="Futura" w:hAnsi="Futura" w:eastAsia="Futura"/>
          <w:b w:val="0"/>
          <w:i w:val="0"/>
          <w:color w:val="003E6F"/>
          <w:sz w:val="21"/>
        </w:rPr>
        <w:t xml:space="preserve">· 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ISSUE xx 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8"/>
        </w:rPr>
        <w:t>www.mrs.org/mrc</w:t>
      </w:r>
    </w:p>
    <w:p>
      <w:pPr>
        <w:sectPr>
          <w:type w:val="continuous"/>
          <w:pgSz w:w="11906" w:h="15818"/>
          <w:pgMar w:top="250" w:right="960" w:bottom="230" w:left="874" w:header="720" w:footer="720" w:gutter="0"/>
          <w:cols w:num="2" w:equalWidth="0">
            <w:col w:w="5104" w:space="0"/>
            <w:col w:w="496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0360" cy="28194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02" w:after="0"/>
        <w:ind w:left="144" w:right="144" w:firstLine="0"/>
        <w:jc w:val="center"/>
      </w:pP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 xml:space="preserve">Figure 3. 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Simplified illustration of Ruddlesden–Popper phase’s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structure. The number of perovskite layers sandwiched defines </w:t>
      </w:r>
    </w:p>
    <w:p>
      <w:pPr>
        <w:autoSpaceDN w:val="0"/>
        <w:autoSpaceDE w:val="0"/>
        <w:widowControl/>
        <w:spacing w:line="186" w:lineRule="exact" w:before="4" w:after="0"/>
        <w:ind w:left="154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the phase of the material. Adapted from Ref.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71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66" w:lineRule="auto" w:before="468" w:after="0"/>
        <w:ind w:left="15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oxygen defects. Ruddlesden–Popper phases’ materials further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take care of strontium segregation problem—a main problem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associated with the state-of-the-art LSCF cathode materials—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because Ruddlesden–Popper phases are composed of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constituents and do not necessarily contain Sr.</w:t>
      </w:r>
    </w:p>
    <w:p>
      <w:pPr>
        <w:autoSpaceDN w:val="0"/>
        <w:tabs>
          <w:tab w:pos="382" w:val="left"/>
        </w:tabs>
        <w:autoSpaceDE w:val="0"/>
        <w:widowControl/>
        <w:spacing w:line="264" w:lineRule="auto" w:before="0" w:after="0"/>
        <w:ind w:left="1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Lower-order </w:t>
      </w:r>
      <w:r>
        <w:rPr>
          <w:rFonts w:ascii="TimesNewRomanPS" w:hAnsi="TimesNewRomanPS" w:eastAsia="TimesNewRomanPS"/>
          <w:b w:val="0"/>
          <w:i/>
          <w:color w:val="000000"/>
          <w:sz w:val="19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= 1 Ruddlesden–Popper phase materials have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 robust capability of storing a considerable amount of intersti-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tial oxygen in their structure which bestowed the materials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significant oxide-ion conductivity. This renders the materials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MIEC at intermediate temperatures which is the main motiva-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tion of intense research focus on these materials.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Thus, </w:t>
      </w:r>
      <w:r>
        <w:rPr>
          <w:rFonts w:ascii="TimesNewRomanPS" w:hAnsi="TimesNewRomanPS" w:eastAsia="TimesNewRomanPS"/>
          <w:b w:val="0"/>
          <w:i/>
          <w:color w:val="000000"/>
          <w:sz w:val="19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= 1 phases such as LNO, PNO and NNO have been studied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extensively. With the lower-order phases such as LNO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PNO, the main issue though is the phase stability under oper-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ating conditions, which unfortunately restricts their use as IT-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SOFC cathodes.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35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Even doped lower-order phases such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as cobalt-doped LNO,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0.9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4+δ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, studied by Amow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co-workers observed extensive decomposition.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77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impurity ­Ni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/Ni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phase formation at high tempera-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tures in the </w:t>
      </w:r>
      <w:r>
        <w:rPr>
          <w:rFonts w:ascii="TimesNewRomanPS" w:hAnsi="TimesNewRomanPS" w:eastAsia="TimesNewRomanPS"/>
          <w:b w:val="0"/>
          <w:i/>
          <w:color w:val="000000"/>
          <w:sz w:val="19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= 1 R-P phase originates from the In stoichiomet-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ric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is, Ni exists mainly in ­Ni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state, which is stable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only at temperatures over 1100°C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but in higher-order phases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 tend to be predominantly in ­Ni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state, which is favourably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stable below 900°C. Therefore, higher-order phases such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9.78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(L4N3), ­Pr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10±δ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(P4N3) and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10±δ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(L2P2N3) comprising predominantly of ­Ni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, expectedly offer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long-term stability.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This was confirmed by Skinner and co-workers who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observed that higher-order phases show increased stability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with no impurity phase appearing after 2 weeks of heating of </w:t>
      </w:r>
      <w:r>
        <w:rPr>
          <w:rFonts w:ascii="TimesNewRomanPS" w:hAnsi="TimesNewRomanPS" w:eastAsia="TimesNewRomanPS"/>
          <w:b w:val="0"/>
          <w:i/>
          <w:color w:val="000000"/>
          <w:sz w:val="19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= 2 and 3 phases at 900°C unlike lower-order phases which </w:t>
      </w:r>
    </w:p>
    <w:p>
      <w:pPr>
        <w:sectPr>
          <w:type w:val="nextColumn"/>
          <w:pgSz w:w="11906" w:h="15818"/>
          <w:pgMar w:top="250" w:right="960" w:bottom="230" w:left="874" w:header="720" w:footer="720" w:gutter="0"/>
          <w:cols w:num="2" w:equalWidth="0">
            <w:col w:w="5104" w:space="0"/>
            <w:col w:w="4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172" w:firstLine="0"/>
        <w:jc w:val="right"/>
      </w:pPr>
      <w:r>
        <w:rPr>
          <w:rFonts w:ascii="Futura" w:hAnsi="Futura" w:eastAsia="Futura"/>
          <w:b/>
          <w:i w:val="0"/>
          <w:color w:val="564281"/>
          <w:sz w:val="24"/>
        </w:rPr>
        <w:t>Prospectiv</w:t>
      </w:r>
      <w:r>
        <w:rPr>
          <w:rFonts w:ascii="Futura" w:hAnsi="Futura" w:eastAsia="Futura"/>
          <w:b/>
          <w:i w:val="0"/>
          <w:color w:val="564281"/>
          <w:sz w:val="24"/>
        </w:rPr>
        <w:t>e</w:t>
      </w:r>
    </w:p>
    <w:p>
      <w:pPr>
        <w:autoSpaceDN w:val="0"/>
        <w:autoSpaceDE w:val="0"/>
        <w:widowControl/>
        <w:spacing w:line="240" w:lineRule="auto" w:before="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61100" cy="76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74"/>
        <w:sectPr>
          <w:pgSz w:w="11906" w:h="15818"/>
          <w:pgMar w:top="328" w:right="858" w:bottom="224" w:left="10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1" w:lineRule="auto" w:before="0" w:after="0"/>
        <w:ind w:left="0" w:right="14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show an impurity phase.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While this is promising and has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been confirmed by several studies,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76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86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we are leav-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ing discussion on Ruddlesden–Popper phase materials limited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here and readers are invited to read the dedicated review on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cathode application of these materials published recently by M. </w:t>
      </w:r>
    </w:p>
    <w:p>
      <w:pPr>
        <w:autoSpaceDN w:val="0"/>
        <w:autoSpaceDE w:val="0"/>
        <w:widowControl/>
        <w:spacing w:line="298" w:lineRule="auto" w:before="0" w:after="0"/>
        <w:ind w:left="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Yatoo and S. Skinner.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87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</w:p>
    <w:p>
      <w:pPr>
        <w:autoSpaceDN w:val="0"/>
        <w:autoSpaceDE w:val="0"/>
        <w:widowControl/>
        <w:spacing w:line="240" w:lineRule="exact" w:before="498" w:after="0"/>
        <w:ind w:left="10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Materials for electrolytes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electrolyte for SOFCs is a dense ceramic material. It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through this ceramic layer that oxide ions migrate to the anode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site, and thus, the primary requirement for electrolyte materials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that they should display very good oxide-ion conductivity.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internal resistance of an electrolyte material to oxide-ion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transport and the distance to be travelled by oxide ions from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cathode to anode is of utmost importance as far as material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performance is concerned.</w:t>
      </w:r>
    </w:p>
    <w:p>
      <w:pPr>
        <w:autoSpaceDN w:val="0"/>
        <w:autoSpaceDE w:val="0"/>
        <w:widowControl/>
        <w:spacing w:line="266" w:lineRule="auto" w:before="0" w:after="0"/>
        <w:ind w:left="10" w:right="144" w:firstLine="2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Further, to avoid losses and thus have better efficiency,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electrolyte materials ideally should have zero electronic con-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ductivity so that electrons generated through the anode reac-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tion are not transported through the electrolyte to the cathode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short-circuit the cell. Further, it should be unreactive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electrode materials and have a matching TEC with that of other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components of the cell.</w:t>
      </w:r>
    </w:p>
    <w:p>
      <w:pPr>
        <w:autoSpaceDN w:val="0"/>
        <w:tabs>
          <w:tab w:pos="236" w:val="left"/>
        </w:tabs>
        <w:autoSpaceDE w:val="0"/>
        <w:widowControl/>
        <w:spacing w:line="264" w:lineRule="auto" w:before="0" w:after="0"/>
        <w:ind w:left="1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electrolyte for SOFCs is a dense ceramic material. It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through this ceramic layer that oxide ions migrate to the anode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site, and thus, the primary requirement for electrolyte materials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that they should display very good oxide-ion conductivity.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Yttria-stabilised zirconia, ­ZrO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–Y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(YSZ), is the most com-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mon electrolyte material for SOFCs.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It has good mechani-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cal properties and is chemically stable over a wide range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operating temperatures and oxygen partial pressures.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material is composed of ­ZrO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, which is stabilised by ­Y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other dopants like MgO and ­Sc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ionic conductivity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this electrolyte material depends on the nature and amount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dopant being used because it is these dopants which create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oxygen vacancies in zirconia, which in turn are responsible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oxide-ion conduction in the electrolyte.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40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However, the formation of insulating phases at operating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temperatures when YSZ electrolyte is used with common cath-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ode materials such as LSC, LSCM and LSCF, brings chemical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stability issues into the picture, and because insulating phases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like ­SrZrO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Zr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7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have less ionic conductivity than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electrolyte material, the cell performance is reduced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time.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88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Ceria ­(CeO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) doped with gadolinium ions ­(Gd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)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found to be promising in terms of its ionic conductivity for use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as a SOFC electrolyte. ­Ce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0.9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Gd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1.95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(CGO10) composition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has been found to have better ionic conduction than YSZ.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]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TEC of CGO10 is 13.5 ×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­K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, thus, making it compat-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ible with other cell components.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96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However, in CGO electro-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lytes under anodic conditions at operating temperatures, ­Ce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4+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ions are reduced to ­Ce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3+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ions, and this is responsible for n-type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electronic conduction, which short circuits the cell, thereby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reducing the performance.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95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97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</w:p>
    <w:p>
      <w:pPr>
        <w:sectPr>
          <w:type w:val="continuous"/>
          <w:pgSz w:w="11906" w:h="15818"/>
          <w:pgMar w:top="328" w:right="858" w:bottom="224" w:left="1020" w:header="720" w:footer="720" w:gutter="0"/>
          <w:cols w:num="2" w:equalWidth="0">
            <w:col w:w="4958" w:space="0"/>
            <w:col w:w="5070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154" w:right="0" w:firstLine="22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Recently magnesium-doped lanthanum gallate,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­La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Ga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Mg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1−</w:t>
      </w:r>
      <w:r>
        <w:rPr>
          <w:w w:val="102.30769377488356"/>
          <w:rFonts w:ascii="TimesNewRomanPS" w:hAnsi="TimesNewRomanPS" w:eastAsia="TimesNewRomanPS"/>
          <w:b w:val="0"/>
          <w:i/>
          <w:color w:val="000000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(LSGM) because of its good ionic con-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ductivity has been used as an electrolyte. This material exhibits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excellent oxide-ion conductivity in the intermediate tempera-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ture range and, thus, is suitable for studies where the goal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to develop materials for IT-SOFCs such as this work.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origin of this superior ionic conductivity is the vacancies cre-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ated in the perovskite structure of lanthanum gallate ­(LaGaO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by doping strontium and magnesium at A and B sites, respec-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tively. In particular, two main compositions being used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researchers are 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0.8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Ga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0.8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Mg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(LSGM8282)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­La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0.9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Ga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0.8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Mg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0.2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3−δ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(LSGM9182). LSGM8282 presents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best ionic conductivity of 0.14 S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700°C as com-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pared to the relatively lower value of 0.12 S ­cm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at the same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temperature.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99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These materials further show compatible TEC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~12.0 × ­10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–6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­K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−1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are, thus, widely used as electrolytes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IT-SOFCs research. Figure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demonstrates the comparison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ionic conductivity of the three conventional electrolyte materi-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als discussed.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100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</w:p>
    <w:p>
      <w:pPr>
        <w:autoSpaceDN w:val="0"/>
        <w:autoSpaceDE w:val="0"/>
        <w:widowControl/>
        <w:spacing w:line="240" w:lineRule="exact" w:before="498" w:after="0"/>
        <w:ind w:left="154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Materials for anodes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primary role of anode material in a cell is to catalyse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fuel oxidation and then to conduct the electrons generated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oxidation of fuel to the external circuit for useful work.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Thus, a typical anode material should possess the good catalytic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activity and electronic conductivity. It should also have good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ionic conductivity for conducting oxide ions. Furthermore,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ability of the anode material to catalyse fuel oxidation assumes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significance as far as cell efficiency is concerned.</w:t>
      </w:r>
    </w:p>
    <w:p>
      <w:pPr>
        <w:autoSpaceDN w:val="0"/>
        <w:autoSpaceDE w:val="0"/>
        <w:widowControl/>
        <w:spacing w:line="269" w:lineRule="auto" w:before="0" w:after="0"/>
        <w:ind w:left="154" w:right="0" w:firstLine="22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typical anode material should possess good catalytic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activity and electronic conductivity to sufficiently fulfil its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primary role to catalyse the fuel oxidation and then to con-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duct the electrons generated by oxidation of the fuel to the </w:t>
      </w:r>
    </w:p>
    <w:p>
      <w:pPr>
        <w:autoSpaceDN w:val="0"/>
        <w:autoSpaceDE w:val="0"/>
        <w:widowControl/>
        <w:spacing w:line="240" w:lineRule="auto" w:before="5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80360" cy="249681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496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02" w:after="0"/>
        <w:ind w:left="154" w:right="288" w:firstLine="0"/>
        <w:jc w:val="left"/>
      </w:pP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 xml:space="preserve">Figure 4. 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Comparison of ionic conductivity of three main electro-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lyte materials.</w:t>
      </w:r>
    </w:p>
    <w:p>
      <w:pPr>
        <w:autoSpaceDN w:val="0"/>
        <w:autoSpaceDE w:val="0"/>
        <w:widowControl/>
        <w:spacing w:line="248" w:lineRule="exact" w:before="466" w:after="0"/>
        <w:ind w:left="982" w:right="0" w:firstLine="0"/>
        <w:jc w:val="left"/>
      </w:pPr>
      <w:r>
        <w:rPr>
          <w:rFonts w:ascii="Futura" w:hAnsi="Futura" w:eastAsia="Futura"/>
          <w:b w:val="0"/>
          <w:i w:val="0"/>
          <w:color w:val="003E6F"/>
          <w:sz w:val="17"/>
        </w:rPr>
        <w:t>MRS COMMUNICATIONS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VOLUME XX </w:t>
      </w:r>
      <w:r>
        <w:rPr>
          <w:rFonts w:ascii="Futura" w:hAnsi="Futura" w:eastAsia="Futura"/>
          <w:b w:val="0"/>
          <w:i w:val="0"/>
          <w:color w:val="003E6F"/>
          <w:sz w:val="21"/>
        </w:rPr>
        <w:t xml:space="preserve">· 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ISSUE xx 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8"/>
        </w:rPr>
        <w:t>www.mrs.org/mrc</w:t>
      </w:r>
      <w:r>
        <w:rPr>
          <w:rFonts w:ascii="HelveticaNeueLTStd" w:hAnsi="HelveticaNeueLTStd" w:eastAsia="HelveticaNeueLTStd"/>
          <w:b w:val="0"/>
          <w:i w:val="0"/>
          <w:color w:val="003E6F"/>
          <w:sz w:val="20"/>
        </w:rPr>
        <w:t>5</w:t>
      </w:r>
    </w:p>
    <w:p>
      <w:pPr>
        <w:sectPr>
          <w:type w:val="nextColumn"/>
          <w:pgSz w:w="11906" w:h="15818"/>
          <w:pgMar w:top="328" w:right="858" w:bottom="224" w:left="1020" w:header="720" w:footer="720" w:gutter="0"/>
          <w:cols w:num="2" w:equalWidth="0">
            <w:col w:w="4958" w:space="0"/>
            <w:col w:w="50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61100" cy="431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0"/>
        <w:sectPr>
          <w:pgSz w:w="11906" w:h="15818"/>
          <w:pgMar w:top="250" w:right="960" w:bottom="230" w:left="87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0"/>
        <w:ind w:left="156" w:right="15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external circuit for useful work. Nickel is a good conductor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further acts as a catalyst for hydrogen oxidation, but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because of high TEC, it is not mechanically compatible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electrolytes such as YSZ.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Therefore, nickel on its own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anode is avoided but is used in the form of a composite.</w:t>
      </w:r>
    </w:p>
    <w:p>
      <w:pPr>
        <w:autoSpaceDN w:val="0"/>
        <w:autoSpaceDE w:val="0"/>
        <w:widowControl/>
        <w:spacing w:line="264" w:lineRule="auto" w:before="0" w:after="0"/>
        <w:ind w:left="156" w:right="144" w:firstLine="2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recent trend in developing anode materials is to have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MIEC materials with a porous structure. Nickel, because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its good catalytic properties and economic viability,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most common material used for anodes.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18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Ni dispersed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over YSZ is, thus, the most commonly used anode mate-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rial,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101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and there are also reports where cermets of Ni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ceria doped with gadolinia—that is Ni-CGO—outperform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Ni–YSZ anode.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102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main problem with Ni–YSZ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that it suffers from carbon deposition and sulphur poisoning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which negatively impacts the electrochemical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of the devices based on this anode. Despite the shortcom-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ings, Ni–YSZ is a state-of-the-art anode for high-tempera-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ture SOFCs because of its high electrochemical activity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mechanical stability.</w:t>
      </w:r>
    </w:p>
    <w:p>
      <w:pPr>
        <w:autoSpaceDN w:val="0"/>
        <w:autoSpaceDE w:val="0"/>
        <w:widowControl/>
        <w:spacing w:line="266" w:lineRule="auto" w:before="0" w:after="0"/>
        <w:ind w:left="156" w:right="144" w:firstLine="22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intermediate temperature SOFCs, however, Ni–CGO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the popular anode material. While CGO on its own lacks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electronic conductivity—which is, therefore, compensated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addition of Ni—it shows high ionic conductivity.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103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 further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drawback of Ni–CGO anode is its mechanical strength, but 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shows reduced carbon deposition when used with hydrocar-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bon fuels and, therefore, is a vital alternative to Ni–YSZ-based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anode materials.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[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FF"/>
          <w:sz w:val="13"/>
        </w:rPr>
        <w:t>104</w:t>
      </w:r>
      <w:r>
        <w:rPr>
          <w:w w:val="102.30769377488356"/>
          <w:rFonts w:ascii="TimesNewRomanPSMT" w:hAnsi="TimesNewRomanPSMT" w:eastAsia="TimesNewRomanPSMT"/>
          <w:b w:val="0"/>
          <w:i w:val="0"/>
          <w:color w:val="000000"/>
          <w:sz w:val="13"/>
        </w:rPr>
        <w:t>]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anode, however, is relatively less sig-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nificant than the electrolyte and cathode because of its less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limiting role in cell performance.</w:t>
      </w:r>
    </w:p>
    <w:p>
      <w:pPr>
        <w:autoSpaceDN w:val="0"/>
        <w:autoSpaceDE w:val="0"/>
        <w:widowControl/>
        <w:spacing w:line="240" w:lineRule="exact" w:before="578" w:after="0"/>
        <w:ind w:left="156" w:right="144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 xml:space="preserve">Conclusions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Arguably the most significant series of conferences—the United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Nations Climate Change Conference—was recently concluded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Sharm El Sheikh, Egypt. More commonly referred to as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Conference of the Parties (COP), it is the 27th edition (COP27)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lays bare the significance of the devastating impact of fossil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fuels on our environment. In this context, technologies such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 SOFCs assume central importance and, therefore, require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particular focus by scientists and technologists. Advancement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 the search for new materials is one way to solve the chal-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lenges faced by energy storage and conversion technologies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SOFCs are one such technology where advancement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materials has proved critical. There are further many opportu-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nities to develop layered oxide materials such as perovskites,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double perovskites and Ruddlesden–Popper phase materials,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including the development of composite electrodes for both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fuel cell and electrolysis modes of operation. In this review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article, we discussed the prominent materials families cur-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rently being investigated by the SOFCs community for differ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ent components of SOFCs, and we believe that looking for new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materials families and improving the performance of already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identified materials will be instrumental in further developing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SOFCs technology.</w:t>
      </w:r>
    </w:p>
    <w:p>
      <w:pPr>
        <w:autoSpaceDN w:val="0"/>
        <w:autoSpaceDE w:val="0"/>
        <w:widowControl/>
        <w:spacing w:line="248" w:lineRule="exact" w:before="606" w:after="0"/>
        <w:ind w:left="0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3E6F"/>
          <w:sz w:val="20"/>
        </w:rPr>
        <w:t>6</w:t>
      </w:r>
      <w:r>
        <w:rPr>
          <w:rFonts w:ascii="Futura" w:hAnsi="Futura" w:eastAsia="Futura"/>
          <w:b w:val="0"/>
          <w:i w:val="0"/>
          <w:color w:val="003E6F"/>
          <w:sz w:val="17"/>
        </w:rPr>
        <w:t>MRS COMMUNICATIONS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VOLUME XX </w:t>
      </w:r>
      <w:r>
        <w:rPr>
          <w:rFonts w:ascii="Futura" w:hAnsi="Futura" w:eastAsia="Futura"/>
          <w:b w:val="0"/>
          <w:i w:val="0"/>
          <w:color w:val="003E6F"/>
          <w:sz w:val="21"/>
        </w:rPr>
        <w:t xml:space="preserve">· 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ISSUE xx 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8"/>
        </w:rPr>
        <w:t>www.mrs.org/mrc</w:t>
      </w:r>
    </w:p>
    <w:p>
      <w:pPr>
        <w:sectPr>
          <w:type w:val="continuous"/>
          <w:pgSz w:w="11906" w:h="15818"/>
          <w:pgMar w:top="250" w:right="960" w:bottom="230" w:left="874" w:header="720" w:footer="720" w:gutter="0"/>
          <w:cols w:num="2" w:equalWidth="0">
            <w:col w:w="5104" w:space="0"/>
            <w:col w:w="496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auto" w:before="0" w:after="0"/>
        <w:ind w:left="156" w:right="0" w:firstLine="0"/>
        <w:jc w:val="left"/>
      </w:pPr>
      <w:r>
        <w:rPr>
          <w:rFonts w:ascii="" w:hAnsi="" w:eastAsia=""/>
          <w:b/>
          <w:i w:val="0"/>
          <w:color w:val="000000"/>
          <w:sz w:val="19"/>
        </w:rPr>
        <w:t>Open Access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This article is licensed under a Creative Commons Attribution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4.0 International License, which permits use, sharing, adapta-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tion, distribution and reproduction in any medium or format,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long as you give appropriate credit to the original author(s)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source, provide a link to the Creative Commons licence,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indicate if changes were made. The images or other third party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material in this article are included in the article’s Creative Com-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mons licence, unless indicated otherwise in a credit line to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material. If material is not included in the article’s Creative Com-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mons licence and your intended use is not permitted by statutory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regulation or exceeds the permitted use, you will need to obtain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permission directly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hyperlink r:id="rId49" w:history="1">
          <w:r>
            <w:rPr>
              <w:rStyle w:val="Hyperlink"/>
            </w:rPr>
            <w:t xml:space="preserve"> from the copyright holder. To view a copy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this licence, visit </w:t>
      </w:r>
      <w:r>
        <w:rPr>
          <w:rFonts w:ascii="TimesNewRomanPSMT" w:hAnsi="TimesNewRomanPSMT" w:eastAsia="TimesNewRomanPSMT"/>
          <w:b w:val="0"/>
          <w:i w:val="0"/>
          <w:color w:val="0000FF"/>
          <w:sz w:val="19"/>
        </w:rPr>
        <w:hyperlink r:id="rId49" w:history="1">
          <w:r>
            <w:rPr>
              <w:rStyle w:val="Hyperlink"/>
            </w:rPr>
            <w:t>http://​creat​iveco​mmons.​org/​licen​ses/​by/4.​0/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84" w:lineRule="exact" w:before="454" w:after="0"/>
        <w:ind w:left="154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564281"/>
          <w:sz w:val="24"/>
        </w:rPr>
        <w:t>References</w:t>
      </w:r>
    </w:p>
    <w:p>
      <w:pPr>
        <w:autoSpaceDN w:val="0"/>
        <w:tabs>
          <w:tab w:pos="566" w:val="left"/>
        </w:tabs>
        <w:autoSpaceDE w:val="0"/>
        <w:widowControl/>
        <w:spacing w:line="190" w:lineRule="exact" w:before="28" w:after="0"/>
        <w:ind w:left="332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1. C.Y. Wang, T. Liu, X.G. Yang, S. Ge, N.V. Stanley, E.S. Rountree, Y. Leng,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B.D. Mccarthy, Nature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611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485 (2022)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2. G. Wang, L. Zhang, J. Zhang, Chem. Soc. Rev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797–828 (2012)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3. P. Simon, Y. Gogotsi, Nat. Mater.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845–854 (2008)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4. J.P. Baboo, M.A. Yatoo, M. Dent, E. Hojaji Najafabadi, C. Lekakou, R. </w:t>
      </w:r>
    </w:p>
    <w:p>
      <w:pPr>
        <w:autoSpaceDN w:val="0"/>
        <w:tabs>
          <w:tab w:pos="566" w:val="left"/>
        </w:tabs>
        <w:autoSpaceDE w:val="0"/>
        <w:widowControl/>
        <w:spacing w:line="188" w:lineRule="exact" w:before="4" w:after="0"/>
        <w:ind w:left="332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Slade, S.J. Hinder, J.F. Watts, Energies (Basel)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2332 (2022).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https://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​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 xml:space="preserve">doi.​org/​10.​3390/​en150​72332 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5. J. Baboo, E. Jakubczyk, M.A. Yatoo, M. Phillips, S. Grabe, M. Dent, S. </w:t>
      </w:r>
    </w:p>
    <w:p>
      <w:pPr>
        <w:autoSpaceDN w:val="0"/>
        <w:autoSpaceDE w:val="0"/>
        <w:widowControl/>
        <w:spacing w:line="190" w:lineRule="exact" w:before="2" w:after="0"/>
        <w:ind w:left="566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Hinder, J. Watts, C. Lekakou, J. Power Sources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561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232762 (2023). </w:t>
      </w:r>
    </w:p>
    <w:p>
      <w:pPr>
        <w:autoSpaceDN w:val="0"/>
        <w:tabs>
          <w:tab w:pos="566" w:val="left"/>
        </w:tabs>
        <w:autoSpaceDE w:val="0"/>
        <w:widowControl/>
        <w:spacing w:line="188" w:lineRule="exact" w:before="0" w:after="0"/>
        <w:ind w:left="332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 xml:space="preserve">https://​doi.​org/​10.​1016/j.​jpows​our.​2023.​232762 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6. M.A. Dar, S. Dinagaran, D. Govindarajan, S. Rafi Ahamed, F. Habib, C. </w:t>
      </w:r>
    </w:p>
    <w:p>
      <w:pPr>
        <w:autoSpaceDN w:val="0"/>
        <w:tabs>
          <w:tab w:pos="566" w:val="left"/>
        </w:tabs>
        <w:autoSpaceDE w:val="0"/>
        <w:widowControl/>
        <w:spacing w:line="188" w:lineRule="exact" w:before="4" w:after="0"/>
        <w:ind w:left="332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Siva, A.V. Moholkar, Z. Ahmad, M.A. Yatoo, J. Alloys Compd.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958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170523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(2023) 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7. Z. Ahmad, W. Kim, S. Kumar, T.H. Yoon, J.S. Lee, ACS Appl. Energy Mater. </w:t>
      </w:r>
    </w:p>
    <w:p>
      <w:pPr>
        <w:autoSpaceDN w:val="0"/>
        <w:tabs>
          <w:tab w:pos="332" w:val="left"/>
          <w:tab w:pos="566" w:val="left"/>
        </w:tabs>
        <w:autoSpaceDE w:val="0"/>
        <w:widowControl/>
        <w:spacing w:line="190" w:lineRule="exact" w:before="2" w:after="0"/>
        <w:ind w:left="156" w:right="0" w:firstLine="0"/>
        <w:jc w:val="left"/>
      </w:pPr>
      <w:r>
        <w:tab/>
      </w: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6743–6751 (2020) </w:t>
      </w:r>
      <w:r>
        <w:br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8. G. Kaur, </w:t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 xml:space="preserve">Intermediate temperature solid oxide fuel cells: electrolytes, </w:t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>electrodes and interconnects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(Elsevier, Amsterdam, 2019) </w:t>
      </w:r>
      <w:r>
        <w:br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9. M. Singh, D. Zappa, E. Comini, Int. J. Hydrog. Energy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27643–27674 </w:t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(2021)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10. C. Sun, R. Hui, J. Roller, J. Solid State Electrochem.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14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1125–1144 </w:t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(2010)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11. N.H. Menzler, F. Tietz, S. Uhlenbruck, H. Peter Buchkremer, D. Stöver, J. </w:t>
      </w:r>
    </w:p>
    <w:p>
      <w:pPr>
        <w:autoSpaceDN w:val="0"/>
        <w:autoSpaceDE w:val="0"/>
        <w:widowControl/>
        <w:spacing w:line="190" w:lineRule="exact" w:before="2" w:after="0"/>
        <w:ind w:left="154" w:right="1008" w:firstLine="41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Mater. Sci.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3109–3135 (2010)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12. S.C. Singhal,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305–313 (2000)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13. P. V. Vibhu, PhD Thesis, University of Bordeaux, 2016.</w:t>
      </w:r>
    </w:p>
    <w:p>
      <w:pPr>
        <w:autoSpaceDN w:val="0"/>
        <w:autoSpaceDE w:val="0"/>
        <w:widowControl/>
        <w:spacing w:line="188" w:lineRule="exact" w:before="4" w:after="0"/>
        <w:ind w:left="154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14. A. Lashtabeg, S.J. Skinner, J. Mater. Chem.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3161–3170 (2006)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15. J.T.S. Irvine, D. Neagu, M.C. Verbraeken, C. Chatzichristodoulou, C. </w:t>
      </w:r>
    </w:p>
    <w:p>
      <w:pPr>
        <w:autoSpaceDN w:val="0"/>
        <w:tabs>
          <w:tab w:pos="564" w:val="left"/>
        </w:tabs>
        <w:autoSpaceDE w:val="0"/>
        <w:widowControl/>
        <w:spacing w:line="190" w:lineRule="exact" w:before="2" w:after="0"/>
        <w:ind w:left="154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Graves, M.B. Mogensen, Nat. Energy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15014 (2016)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16. A. Grimaud, F. Mauvy, J. Marc Bassat, S. Fourcade, M. Marrony, J. Claude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Grenier, J. Mater. Chem.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16017–16025 (2012)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17. N.N.M. Tahir, N.A. Baharuddin, A.A. Samat, N. Osman, M.R. Somalu, J. </w:t>
      </w:r>
    </w:p>
    <w:p>
      <w:pPr>
        <w:autoSpaceDN w:val="0"/>
        <w:tabs>
          <w:tab w:pos="564" w:val="left"/>
        </w:tabs>
        <w:autoSpaceDE w:val="0"/>
        <w:widowControl/>
        <w:spacing w:line="190" w:lineRule="exact" w:before="2" w:after="0"/>
        <w:ind w:left="154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Alloys Compd.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894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162458 (2022)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18. N.Q. Minh, T. Takahashi, </w:t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 xml:space="preserve">Science and technology of ceramic fuel cells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(Elsevier, Oxford, 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19. N.Q. Minh, J. Am. Ceram.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563–588 (1993)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20. B.A. Boukamp, Nat. Mater.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294 (2003)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21. H. Yokokawa, N. Sakai, T. Kawada, M. Dokiya,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52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43–56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(1992)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22. H. Taimatsu, K. Wada, H. Kaneko, H. Yamamura, J. Am. Ceram.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401–405 (1992)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23. J. Mizusaki, Y. Yonemura, H. Kamata, K. Ohyama, N. Mori, H. Takai, H. </w:t>
      </w:r>
    </w:p>
    <w:p>
      <w:pPr>
        <w:autoSpaceDN w:val="0"/>
        <w:tabs>
          <w:tab w:pos="564" w:val="left"/>
        </w:tabs>
        <w:autoSpaceDE w:val="0"/>
        <w:widowControl/>
        <w:spacing w:line="190" w:lineRule="exact" w:before="0" w:after="0"/>
        <w:ind w:left="154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Tagawa, M. Dokiya, K. Naraya, T. Sasamoto, H. Inaba, T. Hashimoto, Solid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167–180 (2000)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24. A. Hammouche, E. Siebert, A. Hammou, Mater. Res. Bull.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24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367–380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(1989)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25. F. Tietz, I. Arul Raj, M. Zahid, D. Stöver,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1753–1756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(2006)</w:t>
      </w:r>
    </w:p>
    <w:p>
      <w:pPr>
        <w:sectPr>
          <w:type w:val="nextColumn"/>
          <w:pgSz w:w="11906" w:h="15818"/>
          <w:pgMar w:top="250" w:right="960" w:bottom="230" w:left="874" w:header="720" w:footer="720" w:gutter="0"/>
          <w:cols w:num="2" w:equalWidth="0">
            <w:col w:w="5104" w:space="0"/>
            <w:col w:w="4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172" w:firstLine="0"/>
        <w:jc w:val="right"/>
      </w:pPr>
      <w:r>
        <w:rPr>
          <w:rFonts w:ascii="Futura" w:hAnsi="Futura" w:eastAsia="Futura"/>
          <w:b/>
          <w:i w:val="0"/>
          <w:color w:val="564281"/>
          <w:sz w:val="24"/>
        </w:rPr>
        <w:t>Prospectiv</w:t>
      </w:r>
      <w:r>
        <w:rPr>
          <w:rFonts w:ascii="Futura" w:hAnsi="Futura" w:eastAsia="Futura"/>
          <w:b/>
          <w:i w:val="0"/>
          <w:color w:val="564281"/>
          <w:sz w:val="24"/>
        </w:rPr>
        <w:t>e</w:t>
      </w:r>
    </w:p>
    <w:p>
      <w:pPr>
        <w:autoSpaceDN w:val="0"/>
        <w:autoSpaceDE w:val="0"/>
        <w:widowControl/>
        <w:spacing w:line="240" w:lineRule="auto" w:before="52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61100" cy="762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328"/>
        <w:sectPr>
          <w:pgSz w:w="11906" w:h="15818"/>
          <w:pgMar w:top="328" w:right="858" w:bottom="38" w:left="10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30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26. B. Guan, W. Li, X. Zhang, A. Wedig, R. Merkle, J. Maier, S. Stämmler, B. </w:t>
      </w:r>
    </w:p>
    <w:p>
      <w:pPr>
        <w:autoSpaceDN w:val="0"/>
        <w:tabs>
          <w:tab w:pos="440" w:val="left"/>
        </w:tabs>
        <w:autoSpaceDE w:val="0"/>
        <w:widowControl/>
        <w:spacing w:line="190" w:lineRule="exact" w:before="2" w:after="0"/>
        <w:ind w:left="30" w:right="144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Stuhlhofer, J. Hwang, Y. Ando, S. Watanabe, ECS Trans.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68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549–556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(2015)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27. T. Ishiham, T. Kudo, H. Matsuda, Y. Takita, J. Am. Ceram.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1682–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1684 (1994)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28. A. Petric, P. Huang, F. Tietz,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719–725 (2000)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29. H. Ullmann, N. Trofimenko, F. Tietz, D. Stöver, A. Ahmad-Khanlou, Solid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79–90 (2000)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30. J. Hwang, Y. Ando, S. Watanabe, ECS Trans.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68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549–556 (2015)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31. L.W. Tai, M.M. Nasrallah, H.U. Anderson, D.M. Sparlin, S.R. Sehlin, Solid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273–283 (1995)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32. D.-ping Huang, Q. Xu, F. Zhang, W. Chen, H.-xing Liu, J. Zhou, Mater. Lett. </w:t>
      </w:r>
    </w:p>
    <w:p>
      <w:pPr>
        <w:autoSpaceDN w:val="0"/>
        <w:tabs>
          <w:tab w:pos="438" w:val="left"/>
        </w:tabs>
        <w:autoSpaceDE w:val="0"/>
        <w:widowControl/>
        <w:spacing w:line="190" w:lineRule="exact" w:before="2" w:after="0"/>
        <w:ind w:left="28" w:right="144" w:firstLine="0"/>
        <w:jc w:val="left"/>
      </w:pP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60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1892–1895 (2006)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33. H. Zhao, F. Mauvy, C. Lalanne, J.M. Bassat, S. Fourcade, J.C. Grenier,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179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2000–2005 (2008)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34. G. Amow, J. Au, I. Davidson,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1837–1841 (2006)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35. G. Amow, I. Davidson, S. Skinner,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1205–1210 (2006)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36. R.K. Sharma, M. Burriel, L. Dessemond, J.-M. Bassat, E. Djurado, J. </w:t>
      </w:r>
    </w:p>
    <w:p>
      <w:pPr>
        <w:autoSpaceDN w:val="0"/>
        <w:tabs>
          <w:tab w:pos="438" w:val="left"/>
        </w:tabs>
        <w:autoSpaceDE w:val="0"/>
        <w:widowControl/>
        <w:spacing w:line="188" w:lineRule="exact" w:before="2" w:after="0"/>
        <w:ind w:left="28" w:right="144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Power Sources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325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337–345 (2016)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37. V. Vibhu, A. Rougier, C. Nicollet, A. Flura, S. Fourcade, N. Penin, J.-C. </w:t>
      </w:r>
    </w:p>
    <w:p>
      <w:pPr>
        <w:autoSpaceDN w:val="0"/>
        <w:tabs>
          <w:tab w:pos="438" w:val="left"/>
        </w:tabs>
        <w:autoSpaceDE w:val="0"/>
        <w:widowControl/>
        <w:spacing w:line="190" w:lineRule="exact" w:before="2" w:after="0"/>
        <w:ind w:left="28" w:right="144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Grenier, J.-M. Bassat, J. Power Sources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317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184–193 (2016)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38. J. Fleig, Annu. Rev. Mater. Res.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361–382 (2003)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39. M.J.L. Østergård, C. Clausen, C. Bagger, M. Mogensen, Electrochim. Acta </w:t>
      </w: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1971–1981 (1995)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40. O. Yamamoto, Y. Arachi, H. Sakai, Y. Takeda, N. Imanishi, Y. Mizutani, M. </w:t>
      </w:r>
    </w:p>
    <w:p>
      <w:pPr>
        <w:autoSpaceDN w:val="0"/>
        <w:tabs>
          <w:tab w:pos="438" w:val="left"/>
        </w:tabs>
        <w:autoSpaceDE w:val="0"/>
        <w:widowControl/>
        <w:spacing w:line="188" w:lineRule="exact" w:before="4" w:after="0"/>
        <w:ind w:left="28" w:right="144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Kawai, Y. Nakamura, Ionics (Kiel)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403–408 (1998)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41. A.V. Berenov, A. Atkinson, J.A. Kilner, E. Bucher, W. Sitte, Solid State Ion. </w:t>
      </w:r>
    </w:p>
    <w:p>
      <w:pPr>
        <w:autoSpaceDN w:val="0"/>
        <w:tabs>
          <w:tab w:pos="436" w:val="left"/>
          <w:tab w:pos="438" w:val="left"/>
        </w:tabs>
        <w:autoSpaceDE w:val="0"/>
        <w:widowControl/>
        <w:spacing w:line="190" w:lineRule="exact" w:before="2" w:after="0"/>
        <w:ind w:left="26" w:right="144" w:firstLine="0"/>
        <w:jc w:val="left"/>
      </w:pPr>
      <w:r>
        <w:tab/>
      </w: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181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819–826 (2010)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42. S.R. Sehlin, H.U. Anderson, D.M. Sparlin,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235–243 </w:t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43. A.N. Petrov, O.F. Kononchuk, A.V. Andreev, V.A. Cherepanov, P. Kofstad, Solid </w:t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80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189–199 (1995)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44. L.W. Tai, M.M. Nasrallah, H.U. Anderson, D.M. Sparlin, S.R. Sehlin, Solid </w:t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259–271 (1995)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45. M.A. Señarı</w:t>
      </w:r>
      <w:r>
        <w:rPr>
          <w:rFonts w:ascii="Code2000" w:hAnsi="Code2000" w:eastAsia="Code2000"/>
          <w:b w:val="0"/>
          <w:i w:val="0"/>
          <w:color w:val="000000"/>
          <w:sz w:val="16"/>
        </w:rPr>
        <w:t>́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s-Rodrı</w:t>
      </w:r>
      <w:r>
        <w:rPr>
          <w:rFonts w:ascii="Code2000" w:hAnsi="Code2000" w:eastAsia="Code2000"/>
          <w:b w:val="0"/>
          <w:i w:val="0"/>
          <w:color w:val="000000"/>
          <w:sz w:val="16"/>
        </w:rPr>
        <w:t>́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guez, J.B. Goodenough, J. Solid State Chem.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118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</w:t>
      </w:r>
      <w:r>
        <w:tab/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323–336 (1995)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46. Y. Teraoka, H.M. Zhang, K. Okamoto, N. Yamazoe, Mater. Res. Bull.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51–58 (1988)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47. L. Qiu, T. Ichikawa, A. Hirano, N. Imanishi, Y. Takeda,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158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55–65 (2003)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48. W.-H. Kim, H.-S. Song, J. Moon, H.-W. Lee,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3211–3216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(2006)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49. S.P. Simner, J.P. Shelton, M.D. Anderson, J.W. Stevenson, Solid State Ion. </w:t>
      </w:r>
    </w:p>
    <w:p>
      <w:pPr>
        <w:autoSpaceDN w:val="0"/>
        <w:tabs>
          <w:tab w:pos="436" w:val="left"/>
        </w:tabs>
        <w:autoSpaceDE w:val="0"/>
        <w:widowControl/>
        <w:spacing w:line="190" w:lineRule="exact" w:before="0" w:after="0"/>
        <w:ind w:left="26" w:right="144" w:firstLine="0"/>
        <w:jc w:val="left"/>
      </w:pP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161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11–18 (2003)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50. J.M. Ralph, A.C. Schoeler, M. Krumpelt, J. Mater. Sci.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1161–1172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(2001)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51. B.C.H. Steele,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134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3–20 (2000)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52. V. Dusastre, J.A. Kilner,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126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163–174 (1999)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53. W.G. Wang, M. Mogensen,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457–462 (2005)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54. A. Tsoga, A. Gupta, A. Naoumidis, P. Nikolopoulos, Acta Mater.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4709–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4714 (2000)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55. S.P. Simner, M.D. Anderson, M.H. Engelhard, J.W. Stevenson, Electrochem. </w:t>
      </w:r>
    </w:p>
    <w:p>
      <w:pPr>
        <w:autoSpaceDN w:val="0"/>
        <w:tabs>
          <w:tab w:pos="436" w:val="left"/>
        </w:tabs>
        <w:autoSpaceDE w:val="0"/>
        <w:widowControl/>
        <w:spacing w:line="188" w:lineRule="exact" w:before="4" w:after="0"/>
        <w:ind w:left="26" w:right="144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Solid-State Lett.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9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A478–A481 (2006)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56. N. Miura, Y. Okamoto, J. Tamaki, K. Morinaga, N. Yamazoe, Solid State Ion. </w:t>
      </w:r>
    </w:p>
    <w:p>
      <w:pPr>
        <w:autoSpaceDN w:val="0"/>
        <w:tabs>
          <w:tab w:pos="434" w:val="left"/>
          <w:tab w:pos="436" w:val="left"/>
        </w:tabs>
        <w:autoSpaceDE w:val="0"/>
        <w:widowControl/>
        <w:spacing w:line="190" w:lineRule="exact" w:before="2" w:after="0"/>
        <w:ind w:left="24" w:right="144" w:firstLine="0"/>
        <w:jc w:val="left"/>
      </w:pP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79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195–200 (1995)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57. X. Li, J.-W. Lee, B.N. Popov, J. Power Sources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187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356–362 (2009)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58. F.S. Baumann, J. Fleig, M. Konuma, U. Starke, H.-U. Habermeier, J. Maier,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J. Electrochem.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152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A2074–A2079 (2005)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59. M. Finsterbusch, A. Lussier, J.A. Schaefer, Y.U. Idzerda,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212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77–80 (2012)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60. W. Wang, S.P. Jiang,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1361–1369 (2006)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61. Z. Lu, J. Zhu, Y. Pan, N. Wu, A. Ignatiev, J. Power Sources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282–290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(2008)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62. J. N. Audinot, Phd Thesis, University of Bordeaux, 1999.</w:t>
      </w:r>
    </w:p>
    <w:p>
      <w:pPr>
        <w:autoSpaceDN w:val="0"/>
        <w:autoSpaceDE w:val="0"/>
        <w:widowControl/>
        <w:spacing w:line="184" w:lineRule="exact" w:before="6" w:after="0"/>
        <w:ind w:left="24" w:right="0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63. S.A. Speakman, R.D. Carneim, E.A. Payzant, T.R. Armstrong, J. Mater. Eng. </w:t>
      </w:r>
    </w:p>
    <w:p>
      <w:pPr>
        <w:autoSpaceDN w:val="0"/>
        <w:tabs>
          <w:tab w:pos="434" w:val="left"/>
        </w:tabs>
        <w:autoSpaceDE w:val="0"/>
        <w:widowControl/>
        <w:spacing w:line="188" w:lineRule="exact" w:before="4" w:after="0"/>
        <w:ind w:left="24" w:right="144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Perform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303–308 (2004)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64. A. Tarancon, M. Burriel, J. Santiso, S.J. Skinner, J.A. Kilner, J. Mater. Chem. </w:t>
      </w:r>
    </w:p>
    <w:p>
      <w:pPr>
        <w:autoSpaceDN w:val="0"/>
        <w:tabs>
          <w:tab w:pos="434" w:val="left"/>
        </w:tabs>
        <w:autoSpaceDE w:val="0"/>
        <w:widowControl/>
        <w:spacing w:line="188" w:lineRule="exact" w:before="4" w:after="0"/>
        <w:ind w:left="24" w:right="720" w:firstLine="0"/>
        <w:jc w:val="left"/>
      </w:pP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3799–3813 (2010)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65. A.A. Taskin, A.N. Lavrov, Y. Ando, Phys. Rev. B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134414 (2005)</w:t>
      </w:r>
    </w:p>
    <w:p>
      <w:pPr>
        <w:autoSpaceDN w:val="0"/>
        <w:autoSpaceDE w:val="0"/>
        <w:widowControl/>
        <w:spacing w:line="110" w:lineRule="exact" w:before="1066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B4B4B4"/>
          <w:sz w:val="8"/>
        </w:rPr>
        <w:hyperlink r:id="rId52" w:history="1">
          <w:r>
            <w:rPr>
              <w:rStyle w:val="Hyperlink"/>
            </w:rPr>
            <w:t>View publication stats</w:t>
          </w:r>
        </w:hyperlink>
      </w:r>
    </w:p>
    <w:p>
      <w:pPr>
        <w:sectPr>
          <w:type w:val="continuous"/>
          <w:pgSz w:w="11906" w:h="15818"/>
          <w:pgMar w:top="328" w:right="858" w:bottom="38" w:left="1000" w:header="720" w:footer="720" w:gutter="0"/>
          <w:cols w:num="2" w:equalWidth="0">
            <w:col w:w="4968" w:space="0"/>
            <w:col w:w="5080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144" w:right="0" w:firstLine="0"/>
        <w:jc w:val="center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66. A.A. Taskin, A.N. Lavrov, Y. Ando, Prog. Solid State Chem.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481–490 (2007)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67. G. Kim, S. Wang, A.J. Jacobson, L. Reimus, P. Brodersen, C.A. Mims, J. </w:t>
      </w:r>
    </w:p>
    <w:p>
      <w:pPr>
        <w:autoSpaceDN w:val="0"/>
        <w:autoSpaceDE w:val="0"/>
        <w:widowControl/>
        <w:spacing w:line="190" w:lineRule="exact" w:before="2" w:after="0"/>
        <w:ind w:left="158" w:right="144" w:firstLine="41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Mater. Chem.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2500–2505 (2007)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68. M.H. Ko, Y.S. Yoo, J.-H. Hwang, Ceram. Int.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4616–4620 (2015)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69. S.N. Ruddlesden, P. Popper, Acta Cryst.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54–55 (1958)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70. B.V. Beznosikov, K.S. Aleksandrov, Crystallogr. Rep.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792–798 (2000)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71. R.G. Palgrave, P. Borisov, M.S. Dyer, S.R.C. Mcmitchell, G.R. Darling, J.B. </w:t>
      </w:r>
    </w:p>
    <w:p>
      <w:pPr>
        <w:autoSpaceDN w:val="0"/>
        <w:tabs>
          <w:tab w:pos="568" w:val="left"/>
        </w:tabs>
        <w:autoSpaceDE w:val="0"/>
        <w:widowControl/>
        <w:spacing w:line="190" w:lineRule="exact" w:before="0" w:after="0"/>
        <w:ind w:left="158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Claridge, M. Batuk, H. Tan, H. Tian, J. Verbeeck, J. Hadermann, M.J. Ros-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seinsky, J. Am. Chem.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134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7700–7714 (2012)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72. V.V. Kharton, A.P. Viskup, E.N. Naumovich, F.M.B. Marques, J. Mater. Chem. </w:t>
      </w:r>
    </w:p>
    <w:p>
      <w:pPr>
        <w:autoSpaceDN w:val="0"/>
        <w:tabs>
          <w:tab w:pos="568" w:val="left"/>
        </w:tabs>
        <w:autoSpaceDE w:val="0"/>
        <w:widowControl/>
        <w:spacing w:line="190" w:lineRule="exact" w:before="2" w:after="0"/>
        <w:ind w:left="158" w:right="0" w:firstLine="0"/>
        <w:jc w:val="left"/>
      </w:pP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9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2623–2629 (1999)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73. J.A. Kilner, S.J. Skinner,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709–712 (2000)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74. G. Amow, I. Davidson and S. Skinner, in </w:t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 xml:space="preserve">Proceedings of the Electrochemical </w:t>
      </w:r>
      <w:r>
        <w:tab/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>Society SOFC-IX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Proceedings of the Electrochemical Society SOFC-IX,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2005, 1745.</w:t>
      </w:r>
    </w:p>
    <w:p>
      <w:pPr>
        <w:autoSpaceDN w:val="0"/>
        <w:autoSpaceDE w:val="0"/>
        <w:widowControl/>
        <w:spacing w:line="184" w:lineRule="exact" w:before="6" w:after="0"/>
        <w:ind w:left="0" w:right="0" w:firstLine="0"/>
        <w:jc w:val="center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75. J.-M. Bassat, V. Vibhu, C. Nicollet, A. Flura, S. Fourcade, J.-C. Grenier, A. </w:t>
      </w:r>
    </w:p>
    <w:p>
      <w:pPr>
        <w:autoSpaceDN w:val="0"/>
        <w:tabs>
          <w:tab w:pos="568" w:val="left"/>
        </w:tabs>
        <w:autoSpaceDE w:val="0"/>
        <w:widowControl/>
        <w:spacing w:line="190" w:lineRule="exact" w:before="2" w:after="0"/>
        <w:ind w:left="158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Rougier, ECS Trans.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655–665 (2017)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76. V. Vibhu, J.-M. Bassat, A. Flura, C. Nicollet, J.-C. Grenier, A. Rougier, ECS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Trans.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68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825–835 (2015)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77. G. Amow, P.S. Whitfield, I.J. Davidson, R.P. Hammond, C.N. Munnings, S.J. </w:t>
      </w:r>
    </w:p>
    <w:p>
      <w:pPr>
        <w:autoSpaceDN w:val="0"/>
        <w:autoSpaceDE w:val="0"/>
        <w:widowControl/>
        <w:spacing w:line="188" w:lineRule="exact" w:before="4" w:after="0"/>
        <w:ind w:left="158" w:right="144" w:firstLine="410"/>
        <w:jc w:val="left"/>
      </w:pP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Skinner, Ceram. Int.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1635–1639 (2004)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78. G. Amow, S.J. Skinner, J. Solid State Electrochem.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538–546 (2006)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79. C. Munnings, S. Skinner, G. Amow, P. Whitfield, I. Davidson, Solid State Ion. </w:t>
      </w:r>
    </w:p>
    <w:p>
      <w:pPr>
        <w:autoSpaceDN w:val="0"/>
        <w:tabs>
          <w:tab w:pos="566" w:val="left"/>
          <w:tab w:pos="568" w:val="left"/>
        </w:tabs>
        <w:autoSpaceDE w:val="0"/>
        <w:widowControl/>
        <w:spacing w:line="190" w:lineRule="exact" w:before="2" w:after="0"/>
        <w:ind w:left="156" w:right="0" w:firstLine="0"/>
        <w:jc w:val="left"/>
      </w:pPr>
      <w:r>
        <w:tab/>
      </w:r>
      <w:r>
        <w:tab/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177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1849–1853 (2006)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80. M. Yatoo, PhD Thesis, Imperial College London, 2019.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https://​doi.​org/​10.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​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25560/​89551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81. M.A. Yatoo, I.D. Seymour, S.J. Skinner, RSC Adv.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13786–13797 (2023). </w:t>
      </w:r>
    </w:p>
    <w:p>
      <w:pPr>
        <w:autoSpaceDN w:val="0"/>
        <w:tabs>
          <w:tab w:pos="566" w:val="left"/>
        </w:tabs>
        <w:autoSpaceDE w:val="0"/>
        <w:widowControl/>
        <w:spacing w:line="192" w:lineRule="exact" w:before="0" w:after="0"/>
        <w:ind w:left="156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https://​doi.​org/​10.​1039/​D3RA0​1772A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82. M.A. Yatoo, S.J. Skinner, ECS Trans.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hyperlink r:id="rId54" w:history="1">
          <w:r>
            <w:rPr>
              <w:rStyle w:val="Hyperlink"/>
            </w:rPr>
            <w:t>1</w:t>
          </w:r>
        </w:hyperlink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11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2405 (2023).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https://​doi.​org/​10.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​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1149/​11106.​2405e​cst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83. M.A. Yatoo, A. Aguadero, S.J. Skinner, APL Mater.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7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8 (2019).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https://​doi.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​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org/​10.​1063/1.​50502​49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84. M.A. Yatoo, S.S. Kawale, S.J. Skinner, in </w:t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 xml:space="preserve">Intermediate temperature solid </w:t>
      </w:r>
      <w:r>
        <w:tab/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>oxide fuel cells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. ed. by G. Kaur (Elsevier, Amsterdam, 2020), pp.315–346. </w:t>
      </w:r>
    </w:p>
    <w:p>
      <w:pPr>
        <w:autoSpaceDN w:val="0"/>
        <w:tabs>
          <w:tab w:pos="566" w:val="left"/>
        </w:tabs>
        <w:autoSpaceDE w:val="0"/>
        <w:widowControl/>
        <w:spacing w:line="190" w:lineRule="exact" w:before="0" w:after="0"/>
        <w:ind w:left="156" w:right="0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https://​doi.​org/​10.​1016/​B978-0-​12-​817445-​6.​00010-7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85. M.A. Yatoo, Z. Du, Z. Yang, H. Zhao, S.J. Skinner, Crystals (Basel)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428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(2020).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https://​doi.​org/​10.​3390/​cryst​10060​428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86. M.A. Yatoo, Z. Du, H. Zhao, A. Aguadero, S.J. Skinner,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320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148–151 (2018).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https://​doi.​org/​10.​1016/j.​ssi.​2018.​02.​043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87. M.A. Yatoo, S.J. Sk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 xml:space="preserve">inner, Mater. Today Proc. </w:t>
          </w:r>
        </w:hyperlink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hyperlink r:id="rId59" w:history="1">
          <w:r>
            <w:rPr>
              <w:rStyle w:val="Hyperlink"/>
            </w:rPr>
            <w:t>56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>, 3747–3754 (2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022). </w:t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https://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t>​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doi.​org/​10.​1016/j.​matpr.​2021.​12.​537</w:t>
          </w:r>
        </w:hyperlink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88. 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>W. Tinglian, L. Xiaofei, K. Chukun, W. We</w:t>
          </w:r>
        </w:hyperlink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ppner,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18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715–719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(1986)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89. S.P.S. Badwal,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143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39–46 (2001)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90. A.M. Hernández, L. Mogni, A. Caneiro, Int. J. Hydrog. Energy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6031–6036 (2010)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91. Z. Duan, M. Yang, A. Yan, Z. Hou, Y. Dong, Y. Chong, M. Cheng, W. Yang, J. </w:t>
      </w:r>
    </w:p>
    <w:p>
      <w:pPr>
        <w:autoSpaceDN w:val="0"/>
        <w:tabs>
          <w:tab w:pos="564" w:val="left"/>
          <w:tab w:pos="566" w:val="left"/>
        </w:tabs>
        <w:autoSpaceDE w:val="0"/>
        <w:widowControl/>
        <w:spacing w:line="190" w:lineRule="exact" w:before="2" w:after="0"/>
        <w:ind w:left="154" w:right="144" w:firstLine="0"/>
        <w:jc w:val="left"/>
      </w:pP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Power Sources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160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57–64 (2006)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92. G.C. Kostogloudis, G. Tsiniarakis, C. Ftikos,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135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529–535 (2000)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93. J.A.M. van Roosmalen, E.H.P. Cordfunke,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52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, 303–312 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(1992)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94. S.J. Skinner, J.A. Kilner, Mater. Today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30–37 (2003)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95. B.C.H. Steele, Solid State Ion.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129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95–110 (2000)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96. A.J. Jacobson, Chem. Mater.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660–674 (2010)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97. M. Han, X. Tang, H. Yin, S. Peng, J Power Sources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165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757–763 (2007)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98. T. Ishihara, H. Matsuda, Y. Takita, J. Am. Chem.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116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3801–3803 (1994)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99. P. Huang, A. Petric, J. Electrochem.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143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1644–1648 (1996)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100. N. Preux, A. Rolle, R.N. Vannier, </w:t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 xml:space="preserve">Functional materials for sustainable energy </w:t>
      </w:r>
      <w:r>
        <w:tab/>
      </w:r>
      <w:r>
        <w:rPr>
          <w:rFonts w:ascii="HelveticaNeueLTStd" w:hAnsi="HelveticaNeueLTStd" w:eastAsia="HelveticaNeueLTStd"/>
          <w:b w:val="0"/>
          <w:i/>
          <w:color w:val="000000"/>
          <w:sz w:val="16"/>
        </w:rPr>
        <w:t>applications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(Elsevier, Amsterdam, 2012), pp.370–401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101. S. Tao, J.T.S. Irvine, Nat. Mater.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320–323 (2003)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102. W.Z. Zhu, S.C. Deevi, Mater. Sci. Eng. A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362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228–239 (2003)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103. J. Seo, J. Moon, K. Kim, N. Prasad Yerriboina, S. Sahir, S.-Y. Han, J. Elec-</w:t>
      </w:r>
      <w:r>
        <w:tab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trochem. Soc.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146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1273–1278 (1999)</w:t>
      </w:r>
      <w:r>
        <w:br/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 xml:space="preserve"> 104. S. Tao, J.T.S. Irvine, Chem. Rec. </w:t>
      </w:r>
      <w:r>
        <w:rPr>
          <w:rFonts w:ascii="HelveticaNeueLTStd" w:hAnsi="HelveticaNeueLTStd" w:eastAsia="HelveticaNeueLTStd"/>
          <w:b/>
          <w:i w:val="0"/>
          <w:color w:val="000000"/>
          <w:sz w:val="16"/>
        </w:rPr>
        <w:t>4</w:t>
      </w:r>
      <w:r>
        <w:rPr>
          <w:rFonts w:ascii="HelveticaNeueLTStd" w:hAnsi="HelveticaNeueLTStd" w:eastAsia="HelveticaNeueLTStd"/>
          <w:b w:val="0"/>
          <w:i w:val="0"/>
          <w:color w:val="000000"/>
          <w:sz w:val="16"/>
        </w:rPr>
        <w:t>, 83–95 (2004)</w:t>
      </w:r>
    </w:p>
    <w:p>
      <w:pPr>
        <w:autoSpaceDN w:val="0"/>
        <w:autoSpaceDE w:val="0"/>
        <w:widowControl/>
        <w:spacing w:line="264" w:lineRule="auto" w:before="208" w:after="0"/>
        <w:ind w:left="164" w:right="0" w:firstLine="0"/>
        <w:jc w:val="left"/>
      </w:pPr>
      <w:r>
        <w:rPr>
          <w:rFonts w:ascii="" w:hAnsi="" w:eastAsia=""/>
          <w:b/>
          <w:i w:val="0"/>
          <w:color w:val="000000"/>
          <w:sz w:val="17"/>
        </w:rPr>
        <w:t>Publisher’s Note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Springer Nature remains neutral with regard to 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jurisdictional claims in published maps and institutional affiliations.</w:t>
      </w:r>
    </w:p>
    <w:p>
      <w:pPr>
        <w:autoSpaceDN w:val="0"/>
        <w:autoSpaceDE w:val="0"/>
        <w:widowControl/>
        <w:spacing w:line="248" w:lineRule="exact" w:before="1060" w:after="0"/>
        <w:ind w:left="992" w:right="0" w:firstLine="0"/>
        <w:jc w:val="left"/>
      </w:pPr>
      <w:r>
        <w:rPr>
          <w:rFonts w:ascii="Futura" w:hAnsi="Futura" w:eastAsia="Futura"/>
          <w:b w:val="0"/>
          <w:i w:val="0"/>
          <w:color w:val="003E6F"/>
          <w:sz w:val="17"/>
        </w:rPr>
        <w:t>MRS COMMUNICATIONS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VOLUME XX </w:t>
      </w:r>
      <w:r>
        <w:rPr>
          <w:rFonts w:ascii="Futura" w:hAnsi="Futura" w:eastAsia="Futura"/>
          <w:b w:val="0"/>
          <w:i w:val="0"/>
          <w:color w:val="003E6F"/>
          <w:sz w:val="21"/>
        </w:rPr>
        <w:t xml:space="preserve">· </w:t>
      </w:r>
      <w:r>
        <w:rPr>
          <w:rFonts w:ascii="Futura" w:hAnsi="Futura" w:eastAsia="Futura"/>
          <w:b w:val="0"/>
          <w:i w:val="0"/>
          <w:color w:val="003E6F"/>
          <w:sz w:val="17"/>
        </w:rPr>
        <w:t xml:space="preserve">ISSUE xx </w:t>
      </w:r>
      <w:r>
        <w:rPr>
          <w:rFonts w:ascii="Futura" w:hAnsi="Futura" w:eastAsia="Futura"/>
          <w:b w:val="0"/>
          <w:i w:val="0"/>
          <w:color w:val="003E6F"/>
          <w:sz w:val="21"/>
        </w:rPr>
        <w:t>·</w:t>
      </w:r>
      <w:r>
        <w:rPr>
          <w:rFonts w:ascii="Futura" w:hAnsi="Futura" w:eastAsia="Futura"/>
          <w:b w:val="0"/>
          <w:i w:val="0"/>
          <w:color w:val="003E6F"/>
          <w:sz w:val="18"/>
        </w:rPr>
        <w:t>www.mrs.org/mrc</w:t>
      </w:r>
      <w:r>
        <w:rPr>
          <w:rFonts w:ascii="HelveticaNeueLTStd" w:hAnsi="HelveticaNeueLTStd" w:eastAsia="HelveticaNeueLTStd"/>
          <w:b w:val="0"/>
          <w:i w:val="0"/>
          <w:color w:val="003E6F"/>
          <w:sz w:val="20"/>
        </w:rPr>
        <w:t>7</w:t>
      </w:r>
    </w:p>
    <w:sectPr w:rsidR="00FC693F" w:rsidRPr="0006063C" w:rsidSect="00034616">
      <w:type w:val="nextColumn"/>
      <w:pgSz w:w="11906" w:h="15818"/>
      <w:pgMar w:top="328" w:right="858" w:bottom="38" w:left="1000" w:header="720" w:footer="720" w:gutter="0"/>
      <w:cols w:num="2" w:equalWidth="0">
        <w:col w:w="4968" w:space="0"/>
        <w:col w:w="508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researchgate.net/publication/371240977_Solid-oxide_fuel_cells_A_critical_review_of_materials_for_cell_components?enrichId=rgreq-35971e8e6d16b8e006dd8c749a2f2a8f-XXX&amp;enrichSource=Y292ZXJQYWdlOzM3MTI0MDk3NztBUzoxMTQzMTI4MTE2NDUwMjA4OUAxNjg1NzQxNTcwMjE0&amp;el=1_x_2&amp;_esc=publicationCoverPdf" TargetMode="External"/><Relationship Id="rId11" Type="http://schemas.openxmlformats.org/officeDocument/2006/relationships/hyperlink" Target="https://www.researchgate.net/publication/371240977_Solid-oxide_fuel_cells_A_critical_review_of_materials_for_cell_components?enrichId=rgreq-35971e8e6d16b8e006dd8c749a2f2a8f-XXX&amp;enrichSource=Y292ZXJQYWdlOzM3MTI0MDk3NztBUzoxMTQzMTI4MTE2NDUwMjA4OUAxNjg1NzQxNTcwMjE0&amp;el=1_x_3&amp;_esc=publicationCoverPd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researchgate.net/project/Li-ion-batteries-14?enrichId=rgreq-35971e8e6d16b8e006dd8c749a2f2a8f-XXX&amp;enrichSource=Y292ZXJQYWdlOzM3MTI0MDk3NztBUzoxMTQzMTI4MTE2NDUwMjA4OUAxNjg1NzQxNTcwMjE0&amp;el=1_x_9&amp;_esc=publicationCoverPdf" TargetMode="External"/><Relationship Id="rId14" Type="http://schemas.openxmlformats.org/officeDocument/2006/relationships/hyperlink" Target="https://www.researchgate.net/project/Surface-exchange-and-diffusion-of-protonic-species?enrichId=rgreq-35971e8e6d16b8e006dd8c749a2f2a8f-XXX&amp;enrichSource=Y292ZXJQYWdlOzM3MTI0MDk3NztBUzoxMTQzMTI4MTE2NDUwMjA4OUAxNjg1NzQxNTcwMjE0&amp;el=1_x_9&amp;_esc=publicationCoverPdf" TargetMode="External"/><Relationship Id="rId15" Type="http://schemas.openxmlformats.org/officeDocument/2006/relationships/hyperlink" Target="https://www.researchgate.net/profile/Mudasir-Yatoo?enrichId=rgreq-35971e8e6d16b8e006dd8c749a2f2a8f-XXX&amp;enrichSource=Y292ZXJQYWdlOzM3MTI0MDk3NztBUzoxMTQzMTI4MTE2NDUwMjA4OUAxNjg1NzQxNTcwMjE0&amp;el=1_x_10&amp;_esc=publicationCoverPdf" TargetMode="External"/><Relationship Id="rId16" Type="http://schemas.openxmlformats.org/officeDocument/2006/relationships/hyperlink" Target="http://crossmark.crossref.org/dialog/?doi=10.1557/s43579-023-00371-0&amp;domain=pdf" TargetMode="External"/><Relationship Id="rId17" Type="http://schemas.openxmlformats.org/officeDocument/2006/relationships/hyperlink" Target="http://orcid.org/0000-0003-0970-5683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hyperlink" Target="http://creativecommons.org/licenses/by/4.0/" TargetMode="External"/><Relationship Id="rId50" Type="http://schemas.openxmlformats.org/officeDocument/2006/relationships/hyperlink" Target="https://doi.org/10.3390/en15072332" TargetMode="External"/><Relationship Id="rId51" Type="http://schemas.openxmlformats.org/officeDocument/2006/relationships/hyperlink" Target="https://doi.org/10.1016/j.jpowsour.2023.232762" TargetMode="External"/><Relationship Id="rId52" Type="http://schemas.openxmlformats.org/officeDocument/2006/relationships/hyperlink" Target="https://www.researchgate.net/publication/371240977" TargetMode="External"/><Relationship Id="rId53" Type="http://schemas.openxmlformats.org/officeDocument/2006/relationships/hyperlink" Target="https://doi.org/10.25560/89551" TargetMode="External"/><Relationship Id="rId54" Type="http://schemas.openxmlformats.org/officeDocument/2006/relationships/hyperlink" Target="https://doi.org/10.1039/D3RA01772A" TargetMode="External"/><Relationship Id="rId55" Type="http://schemas.openxmlformats.org/officeDocument/2006/relationships/hyperlink" Target="https://doi.org/10.1149/11106.2405ecst" TargetMode="External"/><Relationship Id="rId56" Type="http://schemas.openxmlformats.org/officeDocument/2006/relationships/hyperlink" Target="https://doi.org/10.1063/1.5050249" TargetMode="External"/><Relationship Id="rId57" Type="http://schemas.openxmlformats.org/officeDocument/2006/relationships/hyperlink" Target="https://doi.org/10.1016/B978-0-12-817445-6.00010-7" TargetMode="External"/><Relationship Id="rId58" Type="http://schemas.openxmlformats.org/officeDocument/2006/relationships/hyperlink" Target="https://doi.org/10.3390/cryst10060428" TargetMode="External"/><Relationship Id="rId59" Type="http://schemas.openxmlformats.org/officeDocument/2006/relationships/hyperlink" Target="https://doi.org/10.1016/j.ssi.2018.02.043" TargetMode="External"/><Relationship Id="rId60" Type="http://schemas.openxmlformats.org/officeDocument/2006/relationships/hyperlink" Target="https://doi.org/10.1016/j.matpr.2021.12.53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