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271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auto" w:before="58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2"/>
        </w:rPr>
        <w:t xml:space="preserve">See discussions, stats, and author profiles for this publication at: </w:t>
      </w:r>
      <w:r>
        <w:rPr>
          <w:rFonts w:ascii="" w:hAnsi="" w:eastAsia=""/>
          <w:b w:val="0"/>
          <w:i w:val="0"/>
          <w:color w:val="3874A1"/>
          <w:sz w:val="12"/>
        </w:rPr>
        <w:hyperlink r:id="rId10" w:history="1">
          <w:r>
            <w:rPr>
              <w:rStyle w:val="Hyperlink"/>
            </w:rPr>
            <w:t>https://www.researchgate.net/publication/224990162</w:t>
          </w:r>
        </w:hyperlink>
      </w:r>
    </w:p>
    <w:p>
      <w:pPr>
        <w:autoSpaceDN w:val="0"/>
        <w:autoSpaceDE w:val="0"/>
        <w:widowControl/>
        <w:spacing w:line="338" w:lineRule="auto" w:before="220" w:after="0"/>
        <w:ind w:left="0" w:right="0" w:firstLine="0"/>
        <w:jc w:val="left"/>
      </w:pPr>
      <w:r>
        <w:rPr>
          <w:w w:val="98.44370947943794"/>
          <w:rFonts w:ascii="" w:hAnsi="" w:eastAsia=""/>
          <w:b w:val="0"/>
          <w:i w:val="0"/>
          <w:color w:val="000000"/>
          <w:sz w:val="27"/>
        </w:rPr>
        <w:hyperlink r:id="rId11" w:history="1">
          <w:r>
            <w:rPr>
              <w:rStyle w:val="Hyperlink"/>
            </w:rPr>
            <w:t>Highly Efficient High Temperature Hydrogen Production by Water Electrolysis</w:t>
          </w:r>
        </w:hyperlink>
      </w:r>
    </w:p>
    <w:p>
      <w:pPr>
        <w:autoSpaceDN w:val="0"/>
        <w:autoSpaceDE w:val="0"/>
        <w:widowControl/>
        <w:spacing w:line="338" w:lineRule="auto" w:before="0" w:after="0"/>
        <w:ind w:left="0" w:right="0" w:firstLine="0"/>
        <w:jc w:val="left"/>
      </w:pPr>
      <w:r>
        <w:rPr>
          <w:w w:val="98.44370947943794"/>
          <w:rFonts w:ascii="" w:hAnsi="" w:eastAsia=""/>
          <w:b w:val="0"/>
          <w:i w:val="0"/>
          <w:color w:val="000000"/>
          <w:sz w:val="27"/>
        </w:rPr>
        <w:hyperlink r:id="rId11" w:history="1">
          <w:r>
            <w:rPr>
              <w:rStyle w:val="Hyperlink"/>
            </w:rPr>
            <w:t>(HI2H2)</w:t>
          </w:r>
        </w:hyperlink>
      </w:r>
    </w:p>
    <w:p>
      <w:pPr>
        <w:autoSpaceDN w:val="0"/>
        <w:autoSpaceDE w:val="0"/>
        <w:widowControl/>
        <w:spacing w:line="242" w:lineRule="auto" w:before="280" w:after="0"/>
        <w:ind w:left="0" w:right="0" w:firstLine="0"/>
        <w:jc w:val="left"/>
      </w:pPr>
      <w:r>
        <w:rPr>
          <w:w w:val="102.23000599787785"/>
          <w:rFonts w:ascii="Source Sans Pro Semibold" w:hAnsi="Source Sans Pro Semibold" w:eastAsia="Source Sans Pro Semibold"/>
          <w:b/>
          <w:i w:val="0"/>
          <w:color w:val="222222"/>
          <w:sz w:val="13"/>
        </w:rPr>
        <w:t>Conference Paper</w:t>
      </w:r>
      <w:r>
        <w:rPr>
          <w:w w:val="102.23000599787785"/>
          <w:rFonts w:ascii="" w:hAnsi="" w:eastAsia=""/>
          <w:b w:val="0"/>
          <w:i w:val="0"/>
          <w:color w:val="333333"/>
          <w:sz w:val="13"/>
        </w:rPr>
        <w:t xml:space="preserve"> · June 2008</w:t>
      </w:r>
    </w:p>
    <w:p>
      <w:pPr>
        <w:autoSpaceDN w:val="0"/>
        <w:autoSpaceDE w:val="0"/>
        <w:widowControl/>
        <w:spacing w:line="283" w:lineRule="auto" w:before="58" w:after="404"/>
        <w:ind w:left="0" w:right="0" w:firstLine="0"/>
        <w:jc w:val="left"/>
      </w:pPr>
      <w:r>
        <w:rPr>
          <w:w w:val="103.36589813232422"/>
          <w:rFonts w:ascii="" w:hAnsi="" w:eastAsia=""/>
          <w:b w:val="0"/>
          <w:i w:val="0"/>
          <w:color w:val="555555"/>
          <w:sz w:val="9"/>
        </w:rPr>
        <w:t>Source: DLR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1"/>
        <w:gridCol w:w="5431"/>
      </w:tblGrid>
      <w:tr>
        <w:trPr>
          <w:trHeight w:hRule="exact" w:val="538"/>
        </w:trPr>
        <w:tc>
          <w:tcPr>
            <w:tcW w:type="dxa" w:w="4784"/>
            <w:tcBorders>
              <w:top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96" w:after="0"/>
              <w:ind w:left="0" w:right="4320" w:firstLine="0"/>
              <w:jc w:val="left"/>
            </w:pP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 xml:space="preserve">CITATION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316"/>
            <w:tcBorders>
              <w:top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96" w:after="0"/>
              <w:ind w:left="432" w:right="4320" w:firstLine="0"/>
              <w:jc w:val="center"/>
            </w:pP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 xml:space="preserve">READS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1,053</w:t>
            </w:r>
          </w:p>
        </w:tc>
      </w:tr>
    </w:tbl>
    <w:p>
      <w:pPr>
        <w:autoSpaceDN w:val="0"/>
        <w:autoSpaceDE w:val="0"/>
        <w:widowControl/>
        <w:spacing w:line="242" w:lineRule="auto" w:before="250" w:after="120"/>
        <w:ind w:left="0" w:right="0" w:firstLine="0"/>
        <w:jc w:val="left"/>
      </w:pPr>
      <w:r>
        <w:rPr>
          <w:w w:val="102.23000599787785"/>
          <w:rFonts w:ascii="Source Sans Pro Semibold" w:hAnsi="Source Sans Pro Semibold" w:eastAsia="Source Sans Pro Semibold"/>
          <w:b/>
          <w:i w:val="0"/>
          <w:color w:val="222222"/>
          <w:sz w:val="13"/>
        </w:rPr>
        <w:t>5 authors</w:t>
      </w:r>
      <w:r>
        <w:rPr>
          <w:w w:val="102.23000599787785"/>
          <w:rFonts w:ascii="" w:hAnsi="" w:eastAsia=""/>
          <w:b w:val="0"/>
          <w:i w:val="0"/>
          <w:color w:val="333333"/>
          <w:sz w:val="13"/>
        </w:rPr>
        <w:t>, including: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15"/>
        <w:gridCol w:w="2715"/>
        <w:gridCol w:w="2715"/>
        <w:gridCol w:w="2715"/>
      </w:tblGrid>
      <w:tr>
        <w:trPr>
          <w:trHeight w:hRule="exact" w:val="250"/>
        </w:trPr>
        <w:tc>
          <w:tcPr>
            <w:tcW w:type="dxa" w:w="4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729" cy="2527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29" cy="252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6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3874A1"/>
                <w:sz w:val="13"/>
              </w:rPr>
              <w:hyperlink r:id="rId13" w:history="1">
                <w:r>
                  <w:rPr>
                    <w:rStyle w:val="Hyperlink"/>
                  </w:rPr>
                  <w:t>Brisse Annabelle</w:t>
                </w:r>
              </w:hyperlink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25273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2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7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3874A1"/>
                <w:sz w:val="13"/>
              </w:rPr>
              <w:hyperlink r:id="rId15" w:history="1">
                <w:r>
                  <w:rPr>
                    <w:rStyle w:val="Hyperlink"/>
                  </w:rPr>
                  <w:t>Anne Hauch</w:t>
                </w:r>
              </w:hyperlink>
            </w:r>
          </w:p>
        </w:tc>
      </w:tr>
      <w:tr>
        <w:trPr>
          <w:trHeight w:hRule="exact" w:val="200"/>
        </w:trPr>
        <w:tc>
          <w:tcPr>
            <w:tcW w:type="dxa" w:w="271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4" w:after="0"/>
              <w:ind w:left="6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222222"/>
                <w:sz w:val="13"/>
              </w:rPr>
              <w:hyperlink r:id="rId16" w:history="1">
                <w:r>
                  <w:rPr>
                    <w:rStyle w:val="Hyperlink"/>
                  </w:rPr>
                  <w:t>EIFER, European Institute for Energy Research</w:t>
                </w:r>
              </w:hyperlink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4" w:after="0"/>
              <w:ind w:left="7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222222"/>
                <w:sz w:val="13"/>
              </w:rPr>
              <w:t>Topsoe A/S</w:t>
            </w:r>
          </w:p>
        </w:tc>
      </w:tr>
      <w:tr>
        <w:trPr>
          <w:trHeight w:hRule="exact" w:val="284"/>
        </w:trPr>
        <w:tc>
          <w:tcPr>
            <w:tcW w:type="dxa" w:w="4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729" cy="2527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29" cy="252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50</w:t>
            </w: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1,634</w:t>
            </w: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>CITATIONS</w:t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8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103</w:t>
            </w: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3,992</w:t>
            </w: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>CITATIONS</w:t>
            </w:r>
          </w:p>
        </w:tc>
      </w:tr>
      <w:tr>
        <w:trPr>
          <w:trHeight w:hRule="exact" w:val="460"/>
        </w:trPr>
        <w:tc>
          <w:tcPr>
            <w:tcW w:type="dxa" w:w="271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.99999999999994" w:type="dxa"/>
            </w:tblPr>
            <w:tblGrid>
              <w:gridCol w:w="4440"/>
            </w:tblGrid>
            <w:tr>
              <w:trPr>
                <w:trHeight w:hRule="exact" w:val="246"/>
              </w:trPr>
              <w:tc>
                <w:tcPr>
                  <w:tcW w:type="dxa" w:w="850"/>
                  <w:tcBorders>
                    <w:start w:sz="5.31596040725708" w:val="single" w:color="#CCCCCC"/>
                    <w:top w:sz="5.31596040725708" w:val="single" w:color="#CCCCCC"/>
                    <w:end w:sz="5.31596040725708" w:val="single" w:color="#CCCCCC"/>
                    <w:bottom w:sz="5.31596040725708" w:val="single" w:color="#CCCCC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8" w:after="0"/>
                    <w:ind w:left="0" w:right="0" w:firstLine="0"/>
                    <w:jc w:val="center"/>
                  </w:pPr>
                  <w:r>
                    <w:rPr>
                      <w:w w:val="96.65382558649237"/>
                      <w:rFonts w:ascii="" w:hAnsi="" w:eastAsia=""/>
                      <w:b w:val="0"/>
                      <w:i w:val="0"/>
                      <w:color w:val="333333"/>
                      <w:sz w:val="11"/>
                    </w:rPr>
                    <w:t>SEE PROFILE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440"/>
            </w:tblGrid>
            <w:tr>
              <w:trPr>
                <w:trHeight w:hRule="exact" w:val="246"/>
              </w:trPr>
              <w:tc>
                <w:tcPr>
                  <w:tcW w:type="dxa" w:w="852"/>
                  <w:tcBorders>
                    <w:start w:sz="5.31596040725708" w:val="single" w:color="#CCCCCC"/>
                    <w:top w:sz="5.31596040725708" w:val="single" w:color="#CCCCCC"/>
                    <w:end w:sz="5.31596040725708" w:val="single" w:color="#CCCCCC"/>
                    <w:bottom w:sz="5.31596040725708" w:val="single" w:color="#CCCCC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8" w:after="0"/>
                    <w:ind w:left="0" w:right="0" w:firstLine="0"/>
                    <w:jc w:val="center"/>
                  </w:pPr>
                  <w:r>
                    <w:rPr>
                      <w:w w:val="96.65382558649237"/>
                      <w:rFonts w:ascii="" w:hAnsi="" w:eastAsia=""/>
                      <w:b w:val="0"/>
                      <w:i w:val="0"/>
                      <w:color w:val="333333"/>
                      <w:sz w:val="11"/>
                    </w:rPr>
                    <w:t>SEE PROFILE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6"/>
        </w:trPr>
        <w:tc>
          <w:tcPr>
            <w:tcW w:type="dxa" w:w="271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0" w:after="0"/>
              <w:ind w:left="6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3874A1"/>
                <w:sz w:val="13"/>
              </w:rPr>
              <w:hyperlink r:id="rId18" w:history="1">
                <w:r>
                  <w:rPr>
                    <w:rStyle w:val="Hyperlink"/>
                  </w:rPr>
                  <w:t>Ulrich Vogt</w:t>
                </w:r>
              </w:hyperlink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271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1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6" w:after="0"/>
              <w:ind w:left="68" w:right="0" w:firstLine="0"/>
              <w:jc w:val="left"/>
            </w:pPr>
            <w:r>
              <w:rPr>
                <w:w w:val="102.23000599787785"/>
                <w:rFonts w:ascii="" w:hAnsi="" w:eastAsia=""/>
                <w:b w:val="0"/>
                <w:i w:val="0"/>
                <w:color w:val="222222"/>
                <w:sz w:val="13"/>
              </w:rPr>
              <w:hyperlink r:id="rId19" w:history="1">
                <w:r>
                  <w:rPr>
                    <w:rStyle w:val="Hyperlink"/>
                  </w:rPr>
                  <w:t>Empa - Swiss Federal Laboratories for Materials Science and Technology</w:t>
                </w:r>
              </w:hyperlink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27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8" w:after="102"/>
        <w:ind w:left="53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000000"/>
          <w:sz w:val="12"/>
        </w:rPr>
        <w:t>125</w:t>
      </w:r>
      <w:r>
        <w:rPr>
          <w:w w:val="96.65382558649237"/>
          <w:rFonts w:ascii="" w:hAnsi="" w:eastAsia=""/>
          <w:b w:val="0"/>
          <w:i w:val="0"/>
          <w:color w:val="333333"/>
          <w:sz w:val="11"/>
        </w:rPr>
        <w:t>PUBLICATIONS</w:t>
      </w:r>
      <w:r>
        <w:rPr>
          <w:rFonts w:ascii="Source Sans Pro Semibold" w:hAnsi="Source Sans Pro Semibold" w:eastAsia="Source Sans Pro Semibold"/>
          <w:b/>
          <w:i w:val="0"/>
          <w:color w:val="000000"/>
          <w:sz w:val="12"/>
        </w:rPr>
        <w:t>3,294</w:t>
      </w:r>
      <w:r>
        <w:rPr>
          <w:w w:val="96.65382558649237"/>
          <w:rFonts w:ascii="" w:hAnsi="" w:eastAsia=""/>
          <w:b w:val="0"/>
          <w:i w:val="0"/>
          <w:color w:val="333333"/>
          <w:sz w:val="11"/>
        </w:rPr>
        <w:t>CITATIONS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8.0" w:type="dxa"/>
      </w:tblPr>
      <w:tblGrid>
        <w:gridCol w:w="10862"/>
      </w:tblGrid>
      <w:tr>
        <w:trPr>
          <w:trHeight w:hRule="exact" w:val="266"/>
        </w:trPr>
        <w:tc>
          <w:tcPr>
            <w:tcW w:type="dxa" w:w="850"/>
            <w:tcBorders>
              <w:start w:sz="5.31596040725708" w:val="single" w:color="#CCCCCC"/>
              <w:top w:sz="5.31596040725708" w:val="single" w:color="#CCCCCC"/>
              <w:end w:sz="5.31596040725708" w:val="single" w:color="#CCCCCC"/>
              <w:bottom w:sz="5.31596040725708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w w:val="96.65382558649237"/>
                <w:rFonts w:ascii="" w:hAnsi="" w:eastAsia=""/>
                <w:b w:val="0"/>
                <w:i w:val="0"/>
                <w:color w:val="333333"/>
                <w:sz w:val="11"/>
              </w:rPr>
              <w:t>SEE PROFILE</w:t>
            </w:r>
          </w:p>
        </w:tc>
      </w:tr>
    </w:tbl>
    <w:p>
      <w:pPr>
        <w:autoSpaceDN w:val="0"/>
        <w:autoSpaceDE w:val="0"/>
        <w:widowControl/>
        <w:spacing w:line="240" w:lineRule="auto" w:before="484" w:after="0"/>
        <w:ind w:left="0" w:right="0" w:firstLine="0"/>
        <w:jc w:val="left"/>
      </w:pPr>
      <w:r>
        <w:rPr>
          <w:w w:val="102.23000599787785"/>
          <w:rFonts w:ascii="Source Sans Pro Semibold" w:hAnsi="Source Sans Pro Semibold" w:eastAsia="Source Sans Pro Semibold"/>
          <w:b/>
          <w:i w:val="0"/>
          <w:color w:val="222222"/>
          <w:sz w:val="13"/>
        </w:rPr>
        <w:t>Some of the authors of this publication are also working on these related projects:</w:t>
      </w:r>
    </w:p>
    <w:p>
      <w:pPr>
        <w:autoSpaceDN w:val="0"/>
        <w:autoSpaceDE w:val="0"/>
        <w:widowControl/>
        <w:spacing w:line="240" w:lineRule="auto" w:before="1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6550" cy="3378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78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2.23000599787785"/>
          <w:rFonts w:ascii="" w:hAnsi="" w:eastAsia=""/>
          <w:b w:val="0"/>
          <w:i w:val="0"/>
          <w:color w:val="333333"/>
          <w:sz w:val="13"/>
        </w:rPr>
        <w:t>Oxygen-Transporting Membranes</w:t>
      </w:r>
      <w:r>
        <w:rPr>
          <w:w w:val="102.23000599787785"/>
          <w:rFonts w:ascii="" w:hAnsi="" w:eastAsia=""/>
          <w:b w:val="0"/>
          <w:i w:val="0"/>
          <w:color w:val="3874A1"/>
          <w:sz w:val="13"/>
        </w:rPr>
        <w:hyperlink r:id="rId21" w:history="1">
          <w:r>
            <w:rPr>
              <w:rStyle w:val="Hyperlink"/>
            </w:rPr>
            <w:t>View project</w:t>
          </w:r>
        </w:hyperlink>
      </w:r>
    </w:p>
    <w:p>
      <w:pPr>
        <w:autoSpaceDN w:val="0"/>
        <w:autoSpaceDE w:val="0"/>
        <w:widowControl/>
        <w:spacing w:line="240" w:lineRule="auto" w:before="6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6550" cy="3378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78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2.23000599787785"/>
          <w:rFonts w:ascii="" w:hAnsi="" w:eastAsia=""/>
          <w:b w:val="0"/>
          <w:i w:val="0"/>
          <w:color w:val="333333"/>
          <w:sz w:val="13"/>
        </w:rPr>
        <w:t>Efficient Power2Gas Combining SOEC and Biomass Gasification (EP2Gas)</w:t>
      </w:r>
      <w:r>
        <w:rPr>
          <w:w w:val="102.23000599787785"/>
          <w:rFonts w:ascii="" w:hAnsi="" w:eastAsia=""/>
          <w:b w:val="0"/>
          <w:i w:val="0"/>
          <w:color w:val="3874A1"/>
          <w:sz w:val="13"/>
        </w:rPr>
        <w:hyperlink r:id="rId22" w:history="1">
          <w:r>
            <w:rPr>
              <w:rStyle w:val="Hyperlink"/>
            </w:rPr>
            <w:t>View project</w:t>
          </w:r>
        </w:hyperlink>
      </w:r>
    </w:p>
    <w:p>
      <w:pPr>
        <w:autoSpaceDN w:val="0"/>
        <w:autoSpaceDE w:val="0"/>
        <w:widowControl/>
        <w:spacing w:line="278" w:lineRule="auto" w:before="6026" w:after="0"/>
        <w:ind w:left="66" w:right="0" w:firstLine="0"/>
        <w:jc w:val="left"/>
      </w:pPr>
      <w:r>
        <w:rPr>
          <w:w w:val="102.23000599787785"/>
          <w:rFonts w:ascii="" w:hAnsi="" w:eastAsia=""/>
          <w:b w:val="0"/>
          <w:i w:val="0"/>
          <w:color w:val="000000"/>
          <w:sz w:val="13"/>
        </w:rPr>
        <w:t xml:space="preserve">All content following this page was uploaded by </w:t>
      </w:r>
      <w:r>
        <w:rPr>
          <w:w w:val="102.23000599787785"/>
          <w:rFonts w:ascii="" w:hAnsi="" w:eastAsia=""/>
          <w:b w:val="0"/>
          <w:i w:val="0"/>
          <w:color w:val="3874A1"/>
          <w:sz w:val="13"/>
        </w:rPr>
        <w:hyperlink r:id="rId23" w:history="1">
          <w:r>
            <w:rPr>
              <w:rStyle w:val="Hyperlink"/>
            </w:rPr>
            <w:t>Anne Hauch</w:t>
          </w:r>
        </w:hyperlink>
      </w:r>
      <w:r>
        <w:rPr>
          <w:w w:val="102.23000599787785"/>
          <w:rFonts w:ascii="" w:hAnsi="" w:eastAsia=""/>
          <w:b w:val="0"/>
          <w:i w:val="0"/>
          <w:color w:val="000000"/>
          <w:sz w:val="13"/>
        </w:rPr>
        <w:t xml:space="preserve"> on 23 May 2014.</w:t>
      </w:r>
    </w:p>
    <w:p>
      <w:pPr>
        <w:autoSpaceDN w:val="0"/>
        <w:autoSpaceDE w:val="0"/>
        <w:widowControl/>
        <w:spacing w:line="278" w:lineRule="auto" w:before="152" w:after="0"/>
        <w:ind w:left="66" w:right="0" w:firstLine="0"/>
        <w:jc w:val="left"/>
      </w:pPr>
      <w:r>
        <w:rPr>
          <w:w w:val="96.65382558649237"/>
          <w:rFonts w:ascii="" w:hAnsi="" w:eastAsia=""/>
          <w:b w:val="0"/>
          <w:i w:val="0"/>
          <w:color w:val="000000"/>
          <w:sz w:val="11"/>
        </w:rPr>
        <w:t>The user has requested enhancement of the downloaded file.</w:t>
      </w:r>
    </w:p>
    <w:p>
      <w:pPr>
        <w:sectPr>
          <w:pgSz w:w="12240" w:h="15840"/>
          <w:pgMar w:top="330" w:right="580" w:bottom="152" w:left="7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52" w:right="1008" w:firstLine="0"/>
        <w:jc w:val="center"/>
      </w:pPr>
      <w:r>
        <w:rPr>
          <w:w w:val="101.4213048494779"/>
          <w:rFonts w:ascii="" w:hAnsi="" w:eastAsia=""/>
          <w:b/>
          <w:i w:val="0"/>
          <w:color w:val="000000"/>
          <w:sz w:val="26"/>
        </w:rPr>
        <w:t xml:space="preserve">HIGHLY EFFICIENT, HIGH TEMPERATURE, HYDROGEN </w:t>
      </w:r>
      <w:r>
        <w:rPr>
          <w:w w:val="101.4213048494779"/>
          <w:rFonts w:ascii="" w:hAnsi="" w:eastAsia=""/>
          <w:b/>
          <w:i w:val="0"/>
          <w:color w:val="000000"/>
          <w:sz w:val="26"/>
        </w:rPr>
        <w:t xml:space="preserve">PRODUCTION BY WATER ELECTROLYSIS (HI2H2) </w:t>
      </w:r>
    </w:p>
    <w:p>
      <w:pPr>
        <w:autoSpaceDN w:val="0"/>
        <w:autoSpaceDE w:val="0"/>
        <w:widowControl/>
        <w:spacing w:line="286" w:lineRule="exact" w:before="160" w:after="0"/>
        <w:ind w:left="2016" w:right="1872" w:firstLine="0"/>
        <w:jc w:val="center"/>
      </w:pPr>
      <w:r>
        <w:rPr>
          <w:w w:val="98.45737658048931"/>
          <w:rFonts w:ascii="" w:hAnsi="" w:eastAsia=""/>
          <w:b/>
          <w:i w:val="0"/>
          <w:color w:val="000000"/>
          <w:sz w:val="19"/>
        </w:rPr>
        <w:t>M. Zahid</w:t>
      </w:r>
      <w:r>
        <w:rPr>
          <w:w w:val="101.4178991317749"/>
          <w:rFonts w:ascii="" w:hAnsi="" w:eastAsia=""/>
          <w:b/>
          <w:i w:val="0"/>
          <w:color w:val="000000"/>
          <w:sz w:val="12"/>
        </w:rPr>
        <w:t>1</w:t>
      </w:r>
      <w:r>
        <w:rPr>
          <w:w w:val="98.45737658048931"/>
          <w:rFonts w:ascii="" w:hAnsi="" w:eastAsia=""/>
          <w:b/>
          <w:i w:val="0"/>
          <w:color w:val="000000"/>
          <w:sz w:val="19"/>
        </w:rPr>
        <w:t>, A. Brisse</w:t>
      </w:r>
      <w:r>
        <w:rPr>
          <w:w w:val="101.4178991317749"/>
          <w:rFonts w:ascii="" w:hAnsi="" w:eastAsia=""/>
          <w:b/>
          <w:i w:val="0"/>
          <w:color w:val="000000"/>
          <w:sz w:val="12"/>
        </w:rPr>
        <w:t>1</w:t>
      </w:r>
      <w:r>
        <w:rPr>
          <w:w w:val="98.45737658048931"/>
          <w:rFonts w:ascii="" w:hAnsi="" w:eastAsia=""/>
          <w:b/>
          <w:i w:val="0"/>
          <w:color w:val="000000"/>
          <w:sz w:val="19"/>
        </w:rPr>
        <w:t>, A. Hauch</w:t>
      </w:r>
      <w:r>
        <w:rPr>
          <w:w w:val="101.4178991317749"/>
          <w:rFonts w:ascii="" w:hAnsi="" w:eastAsia=""/>
          <w:b/>
          <w:i w:val="0"/>
          <w:color w:val="000000"/>
          <w:sz w:val="12"/>
        </w:rPr>
        <w:t>2</w:t>
      </w:r>
      <w:r>
        <w:rPr>
          <w:w w:val="98.45737658048931"/>
          <w:rFonts w:ascii="" w:hAnsi="" w:eastAsia=""/>
          <w:b/>
          <w:i w:val="0"/>
          <w:color w:val="000000"/>
          <w:sz w:val="19"/>
        </w:rPr>
        <w:t>, G. Schiller</w:t>
      </w:r>
      <w:r>
        <w:rPr>
          <w:w w:val="101.4178991317749"/>
          <w:rFonts w:ascii="" w:hAnsi="" w:eastAsia=""/>
          <w:b/>
          <w:i w:val="0"/>
          <w:color w:val="000000"/>
          <w:sz w:val="12"/>
        </w:rPr>
        <w:t>3</w:t>
      </w:r>
      <w:r>
        <w:rPr>
          <w:w w:val="98.45737658048931"/>
          <w:rFonts w:ascii="" w:hAnsi="" w:eastAsia=""/>
          <w:b/>
          <w:i w:val="0"/>
          <w:color w:val="000000"/>
          <w:sz w:val="19"/>
        </w:rPr>
        <w:t>&amp; U. Vogt</w:t>
      </w:r>
      <w:r>
        <w:rPr>
          <w:w w:val="101.4178991317749"/>
          <w:rFonts w:ascii="" w:hAnsi="" w:eastAsia=""/>
          <w:b/>
          <w:i w:val="0"/>
          <w:color w:val="000000"/>
          <w:sz w:val="12"/>
        </w:rPr>
        <w:t xml:space="preserve">4 </w:t>
      </w:r>
      <w:r>
        <w:br/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European Institute For Energy Research (EIFER) </w:t>
      </w:r>
      <w:r>
        <w:br/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Emmy-Noether-Strasse 11, D-76131 Karlsruhe (Germany) </w:t>
      </w:r>
      <w:r>
        <w:rPr>
          <w:w w:val="97.9929550834324"/>
          <w:rFonts w:ascii="Times" w:hAnsi="Times" w:eastAsia="Times"/>
          <w:b w:val="0"/>
          <w:i w:val="0"/>
          <w:color w:val="0000FF"/>
          <w:sz w:val="23"/>
          <w:u w:val="single"/>
        </w:rPr>
        <w:t>zahid@eifer.uni-karlsruhe.de</w:t>
      </w:r>
    </w:p>
    <w:p>
      <w:pPr>
        <w:autoSpaceDN w:val="0"/>
        <w:autoSpaceDE w:val="0"/>
        <w:widowControl/>
        <w:spacing w:line="272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Risø laboratory, Technical University of Denmark (Risø DTU), Frederiksborgvej 399, </w:t>
      </w:r>
    </w:p>
    <w:p>
      <w:pPr>
        <w:autoSpaceDN w:val="0"/>
        <w:autoSpaceDE w:val="0"/>
        <w:widowControl/>
        <w:spacing w:line="226" w:lineRule="exact" w:before="174" w:after="0"/>
        <w:ind w:left="0" w:right="0" w:firstLine="0"/>
        <w:jc w:val="center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DK-4000 Roskilde (Denmark), </w:t>
      </w:r>
    </w:p>
    <w:p>
      <w:pPr>
        <w:autoSpaceDN w:val="0"/>
        <w:autoSpaceDE w:val="0"/>
        <w:widowControl/>
        <w:spacing w:line="272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Deutsches Zentrum für Luft- und Raumfahrt (DLR), Pfaffenwaldring 38-40, D-70569 </w:t>
      </w:r>
    </w:p>
    <w:p>
      <w:pPr>
        <w:autoSpaceDN w:val="0"/>
        <w:autoSpaceDE w:val="0"/>
        <w:widowControl/>
        <w:spacing w:line="226" w:lineRule="exact" w:before="172" w:after="0"/>
        <w:ind w:left="0" w:right="0" w:firstLine="0"/>
        <w:jc w:val="center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Stuttgart (Germany), </w:t>
      </w:r>
    </w:p>
    <w:p>
      <w:pPr>
        <w:autoSpaceDN w:val="0"/>
        <w:autoSpaceDE w:val="0"/>
        <w:widowControl/>
        <w:spacing w:line="276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Eidgenössische Materialprüfungs- und Forschungsanstalt (EMPA), Ueberlandstrasse </w:t>
      </w:r>
    </w:p>
    <w:p>
      <w:pPr>
        <w:autoSpaceDN w:val="0"/>
        <w:autoSpaceDE w:val="0"/>
        <w:widowControl/>
        <w:spacing w:line="226" w:lineRule="exact" w:before="172" w:after="0"/>
        <w:ind w:left="0" w:right="0" w:firstLine="0"/>
        <w:jc w:val="center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129, CH-8600 Duebendorf (Switzerland), </w:t>
      </w:r>
    </w:p>
    <w:p>
      <w:pPr>
        <w:autoSpaceDN w:val="0"/>
        <w:autoSpaceDE w:val="0"/>
        <w:widowControl/>
        <w:spacing w:line="209" w:lineRule="auto" w:before="842" w:after="0"/>
        <w:ind w:left="67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EXTENDED ABSTRACT </w:t>
      </w:r>
    </w:p>
    <w:p>
      <w:pPr>
        <w:autoSpaceDN w:val="0"/>
        <w:autoSpaceDE w:val="0"/>
        <w:widowControl/>
        <w:spacing w:line="266" w:lineRule="exact" w:before="110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variety of energy sources which can be used to produce hydrogen makes hydrogen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more and more attractive as an energy vector. A way to transform renewable and other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non-fossil sources of energy into hydrogen is water electrolysis. </w:t>
      </w:r>
    </w:p>
    <w:p>
      <w:pPr>
        <w:autoSpaceDN w:val="0"/>
        <w:autoSpaceDE w:val="0"/>
        <w:widowControl/>
        <w:spacing w:line="266" w:lineRule="exact" w:before="112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specific targeted research project “Highly Efficient, High Temperature, Hydrogen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Production by Water Electrolysis” (Hi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H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) was launched in 2004 in the frame of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European Framework Program 6. The aim of the project was to demonstrate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feasibility of hydrogen production by high temperature water electrolysis using currently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available Solid Oxide Fuel Cells (SOFC) technology. Coupled to renewable energy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sources, this technology may meet the present environmental and economical requests.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The Hi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H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project is a consortium of four European research laboratories - EIFER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(coordinator) and DLR in Germany, Risø DTU in Denmark, and EMPA in Switzerland,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bringing together skills and experience in the field of material science, electrochemistry,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renewable energy. </w:t>
      </w:r>
    </w:p>
    <w:p>
      <w:pPr>
        <w:autoSpaceDN w:val="0"/>
        <w:autoSpaceDE w:val="0"/>
        <w:widowControl/>
        <w:spacing w:line="266" w:lineRule="exact" w:before="114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 order to determine the best operating conditions of the Solid Oxide Electrolyser Cells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(SOEC) in the High Temperature Electrolysis (HTE) mode, a number of experiments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have been realized at different scales, from cells and single repeating units (SRU)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stack. Results obtained were then used to make the technical and economical analysis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hydrogen production by high temperature water electrolysis. </w:t>
      </w:r>
    </w:p>
    <w:p>
      <w:pPr>
        <w:sectPr>
          <w:pgSz w:w="12240" w:h="15840"/>
          <w:pgMar w:top="80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5181600</wp:posOffset>
            </wp:positionV>
            <wp:extent cx="3289300" cy="1752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752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6" w:lineRule="exact" w:before="0" w:after="0"/>
        <w:ind w:left="0" w:right="632" w:firstLine="0"/>
        <w:jc w:val="righ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M. Zahid, A. Brisse, A. Hauch, G. Schiller &amp; U. Vogt </w:t>
      </w:r>
    </w:p>
    <w:p>
      <w:pPr>
        <w:autoSpaceDN w:val="0"/>
        <w:autoSpaceDE w:val="0"/>
        <w:widowControl/>
        <w:spacing w:line="209" w:lineRule="auto" w:before="434" w:after="0"/>
        <w:ind w:left="67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Introduction </w:t>
      </w:r>
    </w:p>
    <w:p>
      <w:pPr>
        <w:autoSpaceDN w:val="0"/>
        <w:autoSpaceDE w:val="0"/>
        <w:widowControl/>
        <w:spacing w:line="266" w:lineRule="exact" w:before="54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uniqueness of the concept is to perform water electrolysis at a high temperature,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between 700 and 900°C. High temperature electrolysis of steam (HTE) is expected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consume less electrical energy as compared to electrolysis at low temperature as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consequence of the more favourable thermodynamic and electrochemical kinetic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conditions for the reaction (Dutta, 1990). </w:t>
      </w:r>
    </w:p>
    <w:p>
      <w:pPr>
        <w:autoSpaceDN w:val="0"/>
        <w:autoSpaceDE w:val="0"/>
        <w:widowControl/>
        <w:spacing w:line="278" w:lineRule="exact" w:before="328" w:after="0"/>
        <w:ind w:left="676" w:right="576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Experimental </w:t>
      </w:r>
      <w:r>
        <w:br/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Two types of planar SOFC designs with up to 100 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active area were considered: an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electrode (ceramic-metal compound) supported and a porous metal substrate supported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Solid Oxide Electrolyser Cell (SOEC). Low cost industrial manufacturing techniques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(like screen printing and tape casting) are applied to produce the advanced ceramic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materials </w:t>
      </w:r>
    </w:p>
    <w:p>
      <w:pPr>
        <w:autoSpaceDN w:val="0"/>
        <w:autoSpaceDE w:val="0"/>
        <w:widowControl/>
        <w:spacing w:line="268" w:lineRule="exact" w:before="110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Performances of these SOECs were measured as a function of the operating temperature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the percentage of humidity of the inlet gas. As expected, the performance of the cell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becomes better with increasing the operating temperature and the humidification level.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High performances when achieved using electrode supported SOEC’s made at Risø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DTU. So far, no SOECs have been reported to have better initial performance at similar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operating conditions. A record-breaking performance was reached at 950</w:t>
      </w:r>
      <w:r>
        <w:rPr>
          <w:w w:val="97.9929550834324"/>
          <w:rFonts w:ascii="Symbol" w:hAnsi="Symbol" w:eastAsia="Symbol"/>
          <w:b w:val="0"/>
          <w:i w:val="0"/>
          <w:color w:val="000000"/>
          <w:sz w:val="23"/>
        </w:rPr>
        <w:t>°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C, where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steam electrolysis was operated at a current density of -3.6 A.cm</w:t>
      </w:r>
      <w:r>
        <w:rPr>
          <w:rFonts w:ascii="Times" w:hAnsi="Times" w:eastAsia="Times"/>
          <w:b w:val="0"/>
          <w:i w:val="0"/>
          <w:color w:val="000000"/>
          <w:sz w:val="15"/>
        </w:rPr>
        <w:t>-2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and a cell voltage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only 1.48 V (Jensen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et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al, 2007) (Fig. 1). These current densities were obtained at high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electrical efficiencies which would correspond to a production rate of hydrogen of 1.34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kg.m</w:t>
      </w:r>
      <w:r>
        <w:rPr>
          <w:rFonts w:ascii="Times" w:hAnsi="Times" w:eastAsia="Times"/>
          <w:b w:val="0"/>
          <w:i w:val="0"/>
          <w:color w:val="000000"/>
          <w:sz w:val="15"/>
        </w:rPr>
        <w:t>-2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.h</w:t>
      </w:r>
      <w:r>
        <w:rPr>
          <w:rFonts w:ascii="Times" w:hAnsi="Times" w:eastAsia="Times"/>
          <w:b w:val="0"/>
          <w:i w:val="0"/>
          <w:color w:val="000000"/>
          <w:sz w:val="15"/>
        </w:rPr>
        <w:t>-1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. </w:t>
      </w:r>
    </w:p>
    <w:p>
      <w:pPr>
        <w:autoSpaceDN w:val="0"/>
        <w:autoSpaceDE w:val="0"/>
        <w:widowControl/>
        <w:spacing w:line="209" w:lineRule="auto" w:before="224" w:after="18"/>
        <w:ind w:left="0" w:right="3842" w:firstLine="0"/>
        <w:jc w:val="right"/>
      </w:pPr>
      <w:r>
        <w:rPr>
          <w:w w:val="98.34069013595581"/>
          <w:rFonts w:ascii="" w:hAnsi="" w:eastAsia=""/>
          <w:b/>
          <w:i w:val="0"/>
          <w:color w:val="000000"/>
          <w:sz w:val="16"/>
        </w:rPr>
        <w:t xml:space="preserve">Cell voltage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0" w:right="660" w:firstLine="0"/>
              <w:jc w:val="right"/>
            </w:pPr>
            <w:r>
              <w:rPr>
                <w:w w:val="102.04708099365234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1.49V at -3.59 A.cm</w:t>
            </w:r>
            <w:r>
              <w:rPr>
                <w:w w:val="102.0430755615234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-2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6" w:after="0"/>
              <w:ind w:left="670" w:right="0" w:firstLine="0"/>
              <w:jc w:val="left"/>
            </w:pPr>
            <w:r>
              <w:rPr>
                <w:w w:val="98.34069013595581"/>
                <w:rFonts w:ascii="" w:hAnsi="" w:eastAsia=""/>
                <w:b/>
                <w:i w:val="0"/>
                <w:color w:val="000000"/>
                <w:sz w:val="16"/>
              </w:rPr>
              <w:t>[V]</w:t>
            </w:r>
          </w:p>
        </w:tc>
      </w:tr>
    </w:tbl>
    <w:p>
      <w:pPr>
        <w:autoSpaceDN w:val="0"/>
        <w:autoSpaceDE w:val="0"/>
        <w:widowControl/>
        <w:spacing w:line="158" w:lineRule="exact" w:before="2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1.6</w:t>
      </w:r>
    </w:p>
    <w:p>
      <w:pPr>
        <w:autoSpaceDN w:val="0"/>
        <w:autoSpaceDE w:val="0"/>
        <w:widowControl/>
        <w:spacing w:line="158" w:lineRule="exact" w:before="132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1.4</w:t>
      </w:r>
    </w:p>
    <w:p>
      <w:pPr>
        <w:autoSpaceDN w:val="0"/>
        <w:autoSpaceDE w:val="0"/>
        <w:widowControl/>
        <w:spacing w:line="156" w:lineRule="exact" w:before="136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1.2</w:t>
      </w:r>
    </w:p>
    <w:p>
      <w:pPr>
        <w:autoSpaceDN w:val="0"/>
        <w:autoSpaceDE w:val="0"/>
        <w:widowControl/>
        <w:spacing w:line="158" w:lineRule="exact" w:before="136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158" w:lineRule="exact" w:before="132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0.8</w:t>
      </w:r>
    </w:p>
    <w:p>
      <w:pPr>
        <w:autoSpaceDN w:val="0"/>
        <w:autoSpaceDE w:val="0"/>
        <w:widowControl/>
        <w:spacing w:line="156" w:lineRule="exact" w:before="136" w:after="0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0.6</w:t>
      </w:r>
    </w:p>
    <w:p>
      <w:pPr>
        <w:autoSpaceDN w:val="0"/>
        <w:autoSpaceDE w:val="0"/>
        <w:widowControl/>
        <w:spacing w:line="158" w:lineRule="exact" w:before="136" w:after="72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0.4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31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4" w:after="0"/>
              <w:ind w:left="0" w:right="106" w:firstLine="0"/>
              <w:jc w:val="right"/>
            </w:pPr>
            <w:r>
              <w:rPr>
                <w:w w:val="102.04708099365234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Electrolyser mode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118" w:right="0" w:firstLine="0"/>
              <w:jc w:val="left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4" w:after="0"/>
              <w:ind w:left="342" w:right="0" w:firstLine="0"/>
              <w:jc w:val="left"/>
            </w:pPr>
            <w:r>
              <w:rPr>
                <w:w w:val="102.04708099365234"/>
                <w:rFonts w:ascii="Helvetica" w:hAnsi="Helvetica" w:eastAsia="Helvetica"/>
                <w:b w:val="0"/>
                <w:i w:val="0"/>
                <w:color w:val="000000"/>
                <w:sz w:val="15"/>
              </w:rPr>
              <w:t>Fuel cell mode</w:t>
            </w:r>
          </w:p>
        </w:tc>
      </w:tr>
    </w:tbl>
    <w:p>
      <w:pPr>
        <w:autoSpaceDN w:val="0"/>
        <w:autoSpaceDE w:val="0"/>
        <w:widowControl/>
        <w:spacing w:line="156" w:lineRule="exact" w:before="42" w:after="34"/>
        <w:ind w:left="0" w:right="4466" w:firstLine="0"/>
        <w:jc w:val="right"/>
      </w:pPr>
      <w:r>
        <w:rPr>
          <w:w w:val="98.34069013595581"/>
          <w:rFonts w:ascii="Helvetica" w:hAnsi="Helvetica" w:eastAsia="Helvetica"/>
          <w:b w:val="0"/>
          <w:i w:val="0"/>
          <w:color w:val="000000"/>
          <w:sz w:val="16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4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282" w:firstLine="0"/>
              <w:jc w:val="right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-3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148" w:firstLine="0"/>
              <w:jc w:val="right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-1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  <w:tab w:pos="672" w:val="left"/>
              </w:tabs>
              <w:autoSpaceDE w:val="0"/>
              <w:widowControl/>
              <w:spacing w:line="182" w:lineRule="exact" w:before="10" w:after="0"/>
              <w:ind w:left="148" w:right="144" w:firstLine="0"/>
              <w:jc w:val="left"/>
            </w:pPr>
            <w:r>
              <w:tab/>
            </w: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 </w:t>
            </w:r>
            <w:r>
              <w:br/>
            </w:r>
            <w:r>
              <w:rPr>
                <w:w w:val="98.34069013595581"/>
                <w:rFonts w:ascii="" w:hAnsi="" w:eastAsia=""/>
                <w:b/>
                <w:i w:val="0"/>
                <w:color w:val="000000"/>
                <w:sz w:val="16"/>
              </w:rPr>
              <w:t xml:space="preserve">i [A/cm </w:t>
            </w:r>
            <w:r>
              <w:rPr>
                <w:w w:val="104.57753181457518"/>
                <w:rFonts w:ascii="" w:hAnsi="" w:eastAsia=""/>
                <w:b/>
                <w:i w:val="0"/>
                <w:color w:val="000000"/>
                <w:sz w:val="10"/>
              </w:rPr>
              <w:t>2</w:t>
            </w:r>
            <w:r>
              <w:rPr>
                <w:w w:val="98.34069013595581"/>
                <w:rFonts w:ascii="" w:hAnsi="" w:eastAsia=""/>
                <w:b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310" w:firstLine="0"/>
              <w:jc w:val="right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326" w:right="0" w:firstLine="0"/>
              <w:jc w:val="left"/>
            </w:pPr>
            <w:r>
              <w:rPr>
                <w:w w:val="98.34069013595581"/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720" w:right="576" w:firstLine="0"/>
        <w:jc w:val="center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Fig. 1: j-V curves on the Risø solid oxide cell as an electrolyser cell and as a fuel cell at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different temperatures and steam partial pressures in the inlet gas to the cell (Jensen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et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al, 2007). </w:t>
      </w:r>
    </w:p>
    <w:p>
      <w:pPr>
        <w:autoSpaceDN w:val="0"/>
        <w:autoSpaceDE w:val="0"/>
        <w:widowControl/>
        <w:spacing w:line="266" w:lineRule="exact" w:before="114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Durability tests of up to 2500 hours were performed with single cells. Some tests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demonstrated that a degradation below 2%/1000h can be achieved at current densities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down to -0.5 A/cm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temperatures between 800 and 950°C, and a steam percentage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up to 70 vol.%. </w:t>
      </w:r>
    </w:p>
    <w:p>
      <w:pPr>
        <w:autoSpaceDN w:val="0"/>
        <w:autoSpaceDE w:val="0"/>
        <w:widowControl/>
        <w:spacing w:line="266" w:lineRule="exact" w:before="114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Cells were assembled with an interconnect plate to build a serial repeating unit (SRU).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This SRU was sealed with a glass seal. Protective coatings of the interconnect plates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were developed and validated during the project. In order to account to the corrosive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operating conditions (high temperature and oxidizing atmosphere). Durability tests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SRUs demonstrated that corrosion of the interconnect plate can be slowed down by the </w:t>
      </w:r>
    </w:p>
    <w:p>
      <w:pPr>
        <w:sectPr>
          <w:pgSz w:w="12240" w:h="15840"/>
          <w:pgMar w:top="358" w:right="1440" w:bottom="4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3492500</wp:posOffset>
            </wp:positionV>
            <wp:extent cx="3771900" cy="2362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6" w:lineRule="exact" w:before="0" w:after="0"/>
        <w:ind w:left="0" w:right="632" w:firstLine="0"/>
        <w:jc w:val="righ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M. Zahid, A. Brisse, A. Hauch, G. Schiller &amp; U. Vogt </w:t>
      </w:r>
    </w:p>
    <w:p>
      <w:pPr>
        <w:autoSpaceDN w:val="0"/>
        <w:autoSpaceDE w:val="0"/>
        <w:widowControl/>
        <w:spacing w:line="266" w:lineRule="exact" w:before="392" w:after="0"/>
        <w:ind w:left="676" w:right="576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use of protective coatings. However, in-situ impedance spectroscopy measurements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revealed that the electrical conductivity of these coatings has to be further improved. </w:t>
      </w:r>
    </w:p>
    <w:p>
      <w:pPr>
        <w:autoSpaceDN w:val="0"/>
        <w:autoSpaceDE w:val="0"/>
        <w:widowControl/>
        <w:spacing w:line="266" w:lineRule="exact" w:before="114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 increase in the cell voltage was observed by Risø DTU during the first hundred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hours of the durability test when a glass seal was used in the SRU. Thereafter the cell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voltage decreased. The passivation/activation phenomenon was unambiguously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attributed to a silica deposition, coming from the glass seal, at the interface between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electrolyte and the hydrogen electrode (Hauch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et al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2007). A sealing pre-treatment was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developed to avoid the initial passivation/activation process (Hauch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et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al, 2008). </w:t>
      </w:r>
    </w:p>
    <w:p>
      <w:pPr>
        <w:autoSpaceDN w:val="0"/>
        <w:autoSpaceDE w:val="0"/>
        <w:widowControl/>
        <w:spacing w:line="266" w:lineRule="exact" w:before="112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latest development consisted in the assembly of two electrolyser stacks of 250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600 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active areas. The first stack (250 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active area) was tested for more than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3500h at 800°C and -0.3 A/cm². The average degradation rate during the first 2000 h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was about 14 %/1000h (Fig. 2). After 2000 hours, the steam content was increased,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which improve the stack performance, and leaded to a lower degradation rate of 6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%/1000h. </w:t>
      </w:r>
    </w:p>
    <w:p>
      <w:pPr>
        <w:autoSpaceDN w:val="0"/>
        <w:autoSpaceDE w:val="0"/>
        <w:widowControl/>
        <w:spacing w:line="202" w:lineRule="exact" w:before="324" w:after="0"/>
        <w:ind w:left="184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8</w:t>
      </w:r>
    </w:p>
    <w:p>
      <w:pPr>
        <w:autoSpaceDN w:val="0"/>
        <w:autoSpaceDE w:val="0"/>
        <w:widowControl/>
        <w:spacing w:line="202" w:lineRule="exact" w:before="194" w:after="54"/>
        <w:ind w:left="184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44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Voltage, V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08" w:after="0"/>
              <w:ind w:left="528" w:right="0" w:firstLine="0"/>
              <w:jc w:val="left"/>
            </w:pPr>
            <w:r>
              <w:rPr>
                <w:w w:val="97.9929550834324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50 vol.% Steam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08" w:after="0"/>
              <w:ind w:left="0" w:right="0" w:firstLine="0"/>
              <w:jc w:val="center"/>
            </w:pPr>
            <w:r>
              <w:rPr>
                <w:w w:val="97.9929550834324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70 vol.% Steam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6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cell1V</w:t>
            </w:r>
          </w:p>
        </w:tc>
      </w:tr>
      <w:tr>
        <w:trPr>
          <w:trHeight w:hRule="exact" w:val="2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cell2V</w:t>
            </w:r>
          </w:p>
        </w:tc>
      </w:tr>
      <w:tr>
        <w:trPr>
          <w:trHeight w:hRule="exact" w:val="220"/>
        </w:trPr>
        <w:tc>
          <w:tcPr>
            <w:tcW w:type="dxa" w:w="187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cell3V</w:t>
            </w:r>
          </w:p>
        </w:tc>
      </w:tr>
      <w:tr>
        <w:trPr>
          <w:trHeight w:hRule="exact" w:val="2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cell4V</w:t>
            </w:r>
          </w:p>
        </w:tc>
      </w:tr>
      <w:tr>
        <w:trPr>
          <w:trHeight w:hRule="exact" w:val="220"/>
        </w:trPr>
        <w:tc>
          <w:tcPr>
            <w:tcW w:type="dxa" w:w="187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cell5V</w:t>
            </w:r>
          </w:p>
        </w:tc>
      </w:tr>
      <w:tr>
        <w:trPr>
          <w:trHeight w:hRule="exact" w:val="30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overallV</w:t>
            </w:r>
          </w:p>
        </w:tc>
      </w:tr>
    </w:tbl>
    <w:p>
      <w:pPr>
        <w:autoSpaceDN w:val="0"/>
        <w:autoSpaceDE w:val="0"/>
        <w:widowControl/>
        <w:spacing w:line="202" w:lineRule="exact" w:before="202" w:after="0"/>
        <w:ind w:left="16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1,5</w:t>
      </w:r>
    </w:p>
    <w:p>
      <w:pPr>
        <w:autoSpaceDN w:val="0"/>
        <w:autoSpaceDE w:val="0"/>
        <w:widowControl/>
        <w:spacing w:line="202" w:lineRule="exact" w:before="390" w:after="0"/>
        <w:ind w:left="16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1,0</w:t>
      </w:r>
    </w:p>
    <w:p>
      <w:pPr>
        <w:autoSpaceDN w:val="0"/>
        <w:autoSpaceDE w:val="0"/>
        <w:widowControl/>
        <w:spacing w:line="202" w:lineRule="exact" w:before="392" w:after="8"/>
        <w:ind w:left="16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0,5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5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3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3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3000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4000</w:t>
            </w:r>
          </w:p>
        </w:tc>
      </w:tr>
    </w:tbl>
    <w:p>
      <w:pPr>
        <w:autoSpaceDN w:val="0"/>
        <w:autoSpaceDE w:val="0"/>
        <w:widowControl/>
        <w:spacing w:line="172" w:lineRule="exact" w:before="40" w:after="0"/>
        <w:ind w:left="0" w:right="456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7"/>
        </w:rPr>
        <w:t>Time, h</w:t>
      </w:r>
    </w:p>
    <w:p>
      <w:pPr>
        <w:autoSpaceDN w:val="0"/>
        <w:autoSpaceDE w:val="0"/>
        <w:widowControl/>
        <w:spacing w:line="266" w:lineRule="exact" w:before="224" w:after="0"/>
        <w:ind w:left="576" w:right="576" w:firstLine="0"/>
        <w:jc w:val="center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Fig. 2: Stack and cell voltage evolution during the test. Gas conditions before 2000 h are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1 Nl/min H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+ 0.5 Nl/min N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at the hydrogen electrode side, 7.5 Nl/min at the oxygen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electrode side, and 50 vol.% of steam. After 2000 h, the N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 flow was stopped and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steam content was increased to 70 vol.%. </w:t>
      </w:r>
    </w:p>
    <w:p>
      <w:pPr>
        <w:autoSpaceDN w:val="0"/>
        <w:autoSpaceDE w:val="0"/>
        <w:widowControl/>
        <w:spacing w:line="266" w:lineRule="exact" w:before="112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Based on the achieved results, a techno-economical analysis was made to predict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hydrogen production cost. A cost of around 2 </w:t>
      </w:r>
      <w:r>
        <w:rPr>
          <w:w w:val="97.9929550834324"/>
          <w:rFonts w:ascii="" w:hAnsi="" w:eastAsia=""/>
          <w:b w:val="0"/>
          <w:i w:val="0"/>
          <w:color w:val="000000"/>
          <w:sz w:val="23"/>
        </w:rPr>
        <w:t>€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/kg was calculated assuming an average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electricity price of 0.05 </w:t>
      </w:r>
      <w:r>
        <w:rPr>
          <w:w w:val="97.9929550834324"/>
          <w:rFonts w:ascii="" w:hAnsi="" w:eastAsia=""/>
          <w:b w:val="0"/>
          <w:i w:val="0"/>
          <w:color w:val="000000"/>
          <w:sz w:val="23"/>
        </w:rPr>
        <w:t>€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/kWh, a cell operating voltage below the value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thermoneutral potential (1.3 V at 800°C) and a water vapour source at 200°C. The study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also revealed that an increase in the temperature of the water source would not decrease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hydrogen cost significantly because the main factor influencing the hydrogen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production cost is the electricity price. </w:t>
      </w:r>
    </w:p>
    <w:p>
      <w:pPr>
        <w:autoSpaceDN w:val="0"/>
        <w:autoSpaceDE w:val="0"/>
        <w:widowControl/>
        <w:spacing w:line="206" w:lineRule="auto" w:before="380" w:after="0"/>
        <w:ind w:left="67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Conclusions </w:t>
      </w:r>
    </w:p>
    <w:p>
      <w:pPr>
        <w:autoSpaceDN w:val="0"/>
        <w:autoSpaceDE w:val="0"/>
        <w:widowControl/>
        <w:spacing w:line="266" w:lineRule="exact" w:before="58" w:after="0"/>
        <w:ind w:left="67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Results obtained within the project have demonstrated that hydrogen can be produced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through water electrolysis with higher efficiencies, greater than 90%. SOFC can be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operated in the electrolysis mode with low operation voltages in the range of 1 to 1.3V.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Cells are thus suitable for reversible operation. The estimated hydrogen production cost </w:t>
      </w:r>
    </w:p>
    <w:p>
      <w:pPr>
        <w:sectPr>
          <w:pgSz w:w="12240" w:h="15840"/>
          <w:pgMar w:top="358" w:right="1440" w:bottom="5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632" w:firstLine="0"/>
        <w:jc w:val="righ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M. Zahid, A. Brisse, A. Hauch, G. Schiller &amp; U. Vogt </w:t>
      </w:r>
    </w:p>
    <w:p>
      <w:pPr>
        <w:autoSpaceDN w:val="0"/>
        <w:autoSpaceDE w:val="0"/>
        <w:widowControl/>
        <w:spacing w:line="266" w:lineRule="exact" w:before="392" w:after="0"/>
        <w:ind w:left="1116" w:right="576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indicates that the SOEC technology has the potential to be competitive with the other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low temperature hydrogen production processes. </w:t>
      </w:r>
    </w:p>
    <w:p>
      <w:pPr>
        <w:autoSpaceDN w:val="0"/>
        <w:autoSpaceDE w:val="0"/>
        <w:widowControl/>
        <w:spacing w:line="206" w:lineRule="auto" w:before="382" w:after="0"/>
        <w:ind w:left="111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Acknowledgement </w:t>
      </w:r>
    </w:p>
    <w:p>
      <w:pPr>
        <w:autoSpaceDN w:val="0"/>
        <w:autoSpaceDE w:val="0"/>
        <w:widowControl/>
        <w:spacing w:line="224" w:lineRule="exact" w:before="96" w:after="0"/>
        <w:ind w:left="1116" w:right="0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We acknowledge the European Commission for supporting the project. </w:t>
      </w:r>
    </w:p>
    <w:p>
      <w:pPr>
        <w:autoSpaceDN w:val="0"/>
        <w:autoSpaceDE w:val="0"/>
        <w:widowControl/>
        <w:spacing w:line="209" w:lineRule="auto" w:before="382" w:after="0"/>
        <w:ind w:left="111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References </w:t>
      </w:r>
    </w:p>
    <w:p>
      <w:pPr>
        <w:autoSpaceDN w:val="0"/>
        <w:autoSpaceDE w:val="0"/>
        <w:widowControl/>
        <w:spacing w:line="264" w:lineRule="exact" w:before="58" w:after="0"/>
        <w:ind w:left="1116" w:right="576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Dutta S., (1990),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“Technology assessment of advanced electrolytic hydrogen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production”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International Journal of Hydrogen Energy, 15, pp. 379-386. </w:t>
      </w:r>
    </w:p>
    <w:p>
      <w:pPr>
        <w:autoSpaceDN w:val="0"/>
        <w:autoSpaceDE w:val="0"/>
        <w:widowControl/>
        <w:spacing w:line="268" w:lineRule="exact" w:before="110" w:after="0"/>
        <w:ind w:left="111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Hauch A., S.H. Jensen S.H., Bilde-Sorensen J.B., and Mogensen M., (2007),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“Silica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Segregation in the Ni/YSZ Electrode”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Journal of the Electrochemical Society, 154, pp.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A619-A626. </w:t>
      </w:r>
    </w:p>
    <w:p>
      <w:pPr>
        <w:autoSpaceDN w:val="0"/>
        <w:autoSpaceDE w:val="0"/>
        <w:widowControl/>
        <w:spacing w:line="266" w:lineRule="exact" w:before="112" w:after="0"/>
        <w:ind w:left="111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Hauch A., Ebbesen S., Jensen S.H., and Mogensen M., (2008),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“Solid Oxide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Electrolysis Cells – Microstructure and Degradation of the Ni/YSZ Electrode”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Journal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of the Electrochemical Society, submitted. </w:t>
      </w:r>
    </w:p>
    <w:p>
      <w:pPr>
        <w:autoSpaceDN w:val="0"/>
        <w:autoSpaceDE w:val="0"/>
        <w:widowControl/>
        <w:spacing w:line="268" w:lineRule="exact" w:before="110" w:after="0"/>
        <w:ind w:left="1116" w:right="63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Jensen S.H., Larsen P.H., and Mogensen M., (2007),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“Hydrogen and synthetic fuel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production from renewable energy sources”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International Journal of Hydrogen Energy,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32, in press. </w:t>
      </w:r>
    </w:p>
    <w:p>
      <w:pPr>
        <w:autoSpaceDN w:val="0"/>
        <w:autoSpaceDE w:val="0"/>
        <w:widowControl/>
        <w:spacing w:line="268" w:lineRule="exact" w:before="110" w:after="0"/>
        <w:ind w:left="1116" w:right="576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Larminie J., and Dicks A., (2003),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“Fuel Cell Systems Explained”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2nd Ed. John Wiley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&amp; Sons, p 371. </w:t>
      </w:r>
    </w:p>
    <w:p>
      <w:pPr>
        <w:autoSpaceDN w:val="0"/>
        <w:autoSpaceDE w:val="0"/>
        <w:widowControl/>
        <w:spacing w:line="206" w:lineRule="auto" w:before="532" w:after="0"/>
        <w:ind w:left="111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>Web site:</w:t>
      </w:r>
      <w:r>
        <w:rPr>
          <w:w w:val="97.9929550834324"/>
          <w:rFonts w:ascii="" w:hAnsi="" w:eastAsia=""/>
          <w:b/>
          <w:i w:val="0"/>
          <w:color w:val="0000FF"/>
          <w:sz w:val="23"/>
          <w:u w:val="single"/>
        </w:rPr>
        <w:t>http://www.hi2h2.com</w:t>
      </w:r>
    </w:p>
    <w:p>
      <w:pPr>
        <w:autoSpaceDN w:val="0"/>
        <w:autoSpaceDE w:val="0"/>
        <w:widowControl/>
        <w:spacing w:line="226" w:lineRule="exact" w:before="222" w:after="0"/>
        <w:ind w:left="1116" w:right="0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Project coordinator name: Mohsine ZAHID (EIfER) </w:t>
      </w:r>
    </w:p>
    <w:p>
      <w:pPr>
        <w:autoSpaceDN w:val="0"/>
        <w:autoSpaceDE w:val="0"/>
        <w:widowControl/>
        <w:spacing w:line="209" w:lineRule="auto" w:before="378" w:after="22"/>
        <w:ind w:left="1116" w:right="0" w:firstLine="0"/>
        <w:jc w:val="left"/>
      </w:pPr>
      <w:r>
        <w:rPr>
          <w:w w:val="97.9929550834324"/>
          <w:rFonts w:ascii="" w:hAnsi="" w:eastAsia=""/>
          <w:b/>
          <w:i w:val="0"/>
          <w:color w:val="000000"/>
          <w:sz w:val="23"/>
        </w:rPr>
        <w:t xml:space="preserve">Partners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450"/>
        <w:gridCol w:w="2450"/>
        <w:gridCol w:w="2450"/>
        <w:gridCol w:w="2450"/>
      </w:tblGrid>
      <w:tr>
        <w:trPr>
          <w:trHeight w:hRule="exact" w:val="102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3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78840" cy="44576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445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29310" cy="4102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410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8069" cy="3886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9" cy="388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98500" cy="596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0" w:lineRule="exact" w:before="54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B4B4B4"/>
          <w:sz w:val="8"/>
        </w:rPr>
        <w:hyperlink r:id="rId30" w:history="1">
          <w:r>
            <w:rPr>
              <w:rStyle w:val="Hyperlink"/>
            </w:rPr>
            <w:t>View publication stats</w:t>
          </w:r>
        </w:hyperlink>
      </w:r>
    </w:p>
    <w:sectPr w:rsidR="00FC693F" w:rsidRPr="0006063C" w:rsidSect="00034616">
      <w:pgSz w:w="12240" w:h="15840"/>
      <w:pgMar w:top="358" w:right="1440" w:bottom="38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searchgate.net/publication/224990162_Highly_Efficient_High_Temperature_Hydrogen_Production_by_Water_Electrolysis_HI2H2?enrichId=rgreq-aa762b45dcf11cc9bf33d79c047447d0-XXX&amp;enrichSource=Y292ZXJQYWdlOzIyNDk5MDE2MjtBUzo5OTg2MTA5MzQyMTA3OUAxNDAwODIwMTQ5MDA4&amp;el=1_x_2&amp;_esc=publicationCoverPdf" TargetMode="External"/><Relationship Id="rId11" Type="http://schemas.openxmlformats.org/officeDocument/2006/relationships/hyperlink" Target="https://www.researchgate.net/publication/224990162_Highly_Efficient_High_Temperature_Hydrogen_Production_by_Water_Electrolysis_HI2H2?enrichId=rgreq-aa762b45dcf11cc9bf33d79c047447d0-XXX&amp;enrichSource=Y292ZXJQYWdlOzIyNDk5MDE2MjtBUzo5OTg2MTA5MzQyMTA3OUAxNDAwODIwMTQ5MDA4&amp;el=1_x_3&amp;_esc=publicationCoverPd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researchgate.net/profile/Brisse-Annabelle-2?enrichId=rgreq-aa762b45dcf11cc9bf33d79c047447d0-XXX&amp;enrichSource=Y292ZXJQYWdlOzIyNDk5MDE2MjtBUzo5OTg2MTA5MzQyMTA3OUAxNDAwODIwMTQ5MDA4&amp;el=1_x_5&amp;_esc=publicationCover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researchgate.net/profile/Anne-Hauch?enrichId=rgreq-aa762b45dcf11cc9bf33d79c047447d0-XXX&amp;enrichSource=Y292ZXJQYWdlOzIyNDk5MDE2MjtBUzo5OTg2MTA5MzQyMTA3OUAxNDAwODIwMTQ5MDA4&amp;el=1_x_5&amp;_esc=publicationCoverPdf" TargetMode="External"/><Relationship Id="rId16" Type="http://schemas.openxmlformats.org/officeDocument/2006/relationships/hyperlink" Target="https://www.researchgate.net/institution/EIFER_European_Institute_for_Energy_Research?enrichId=rgreq-aa762b45dcf11cc9bf33d79c047447d0-XXX&amp;enrichSource=Y292ZXJQYWdlOzIyNDk5MDE2MjtBUzo5OTg2MTA5MzQyMTA3OUAxNDAwODIwMTQ5MDA4&amp;el=1_x_6&amp;_esc=publicationCoverPdf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www.researchgate.net/profile/Ulrich-Vogt?enrichId=rgreq-aa762b45dcf11cc9bf33d79c047447d0-XXX&amp;enrichSource=Y292ZXJQYWdlOzIyNDk5MDE2MjtBUzo5OTg2MTA5MzQyMTA3OUAxNDAwODIwMTQ5MDA4&amp;el=1_x_5&amp;_esc=publicationCoverPdf" TargetMode="External"/><Relationship Id="rId19" Type="http://schemas.openxmlformats.org/officeDocument/2006/relationships/hyperlink" Target="https://www.researchgate.net/institution/Empa-Swiss_Federal_Laboratories_for_Materials_Science_and_Technology?enrichId=rgreq-aa762b45dcf11cc9bf33d79c047447d0-XXX&amp;enrichSource=Y292ZXJQYWdlOzIyNDk5MDE2MjtBUzo5OTg2MTA5MzQyMTA3OUAxNDAwODIwMTQ5MDA4&amp;el=1_x_6&amp;_esc=publicationCoverPdf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s://www.researchgate.net/project/Oxygen-Transporting-Membranes?enrichId=rgreq-aa762b45dcf11cc9bf33d79c047447d0-XXX&amp;enrichSource=Y292ZXJQYWdlOzIyNDk5MDE2MjtBUzo5OTg2MTA5MzQyMTA3OUAxNDAwODIwMTQ5MDA4&amp;el=1_x_9&amp;_esc=publicationCoverPdf" TargetMode="External"/><Relationship Id="rId22" Type="http://schemas.openxmlformats.org/officeDocument/2006/relationships/hyperlink" Target="https://www.researchgate.net/project/Efficient-Power2Gas-Combining-SOEC-and-Biomass-Gasification-EP2Gas?enrichId=rgreq-aa762b45dcf11cc9bf33d79c047447d0-XXX&amp;enrichSource=Y292ZXJQYWdlOzIyNDk5MDE2MjtBUzo5OTg2MTA5MzQyMTA3OUAxNDAwODIwMTQ5MDA4&amp;el=1_x_9&amp;_esc=publicationCoverPdf" TargetMode="External"/><Relationship Id="rId23" Type="http://schemas.openxmlformats.org/officeDocument/2006/relationships/hyperlink" Target="https://www.researchgate.net/profile/Anne-Hauch?enrichId=rgreq-aa762b45dcf11cc9bf33d79c047447d0-XXX&amp;enrichSource=Y292ZXJQYWdlOzIyNDk5MDE2MjtBUzo5OTg2MTA5MzQyMTA3OUAxNDAwODIwMTQ5MDA4&amp;el=1_x_10&amp;_esc=publicationCoverPdf" TargetMode="External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hyperlink" Target="https://www.researchgate.net/publication/224990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