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1- Identificar una ventaja y un inconveniente en relacion a la construcción de la resolución SLD frente a una transversal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Ventaja SLD -&gt; Transversal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Menos complejidad, la resolucion transversal aumenta exponencialmente y conserva variables, lo que ocupa mucha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memoria y tiempo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Desventaja SLD -&gt; transversal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Existe la posibilidad de que un programa no acabe al tener recursividad de izquierdas. El arbol de resolucion entra en un ciclo al intentar resolver una de las ramas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2- Implementar ordenar lista por inserción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ordenar( [], [] ).</w:t>
      </w:r>
    </w:p>
    <w:p w:rsidR="00000000" w:rsidDel="00000000" w:rsidP="00000000" w:rsidRDefault="00000000" w:rsidRPr="00000000">
      <w:pPr>
        <w:ind w:hanging="3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ordenar( [Car|Cdr], Resultado) :- ordenar(Cdr, Res), insertar(Car, Res, Resultado).</w:t>
      </w:r>
    </w:p>
    <w:p w:rsidR="00000000" w:rsidDel="00000000" w:rsidP="00000000" w:rsidRDefault="00000000" w:rsidRPr="00000000">
      <w:pPr>
        <w:ind w:hanging="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insertar( Elemento, [], [Elemento] ).</w:t>
      </w:r>
    </w:p>
    <w:p w:rsidR="00000000" w:rsidDel="00000000" w:rsidP="00000000" w:rsidRDefault="00000000" w:rsidRPr="00000000">
      <w:pPr>
        <w:ind w:hanging="3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insertar( Elemento, [Car|Cdr], [Elemento, Car|Cdr] ) :- Elemento &lt; Car.</w:t>
      </w:r>
    </w:p>
    <w:p w:rsidR="00000000" w:rsidDel="00000000" w:rsidP="00000000" w:rsidRDefault="00000000" w:rsidRPr="00000000">
      <w:pPr>
        <w:ind w:hanging="3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insertar( Elemento, [Car|Cdr], [Car, Elemento|Cdr] ) :- Elemento = Car.</w:t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insertar( Elemento, [Car|Cdr], [Car|Res] )</w:t>
        <w:tab/>
        <w:tab/>
        <w:t xml:space="preserve"> :- Elemento &gt; Car, insertar(Elemento, Cdr, Res).</w:t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3- Determinar el dominio de intersección del producto interseccion/3</w:t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4- Analizar las condiciones de uso de la negación por fallo, de forma a garantizar un comportamiento congruente respecto a la negación lógica.</w:t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