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1-Demostrar si la siguiente información es cierta o falsa.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El corte,tal y como ha sido definido para la resolución SLD mantendría su semántica          operacional en una resolución transversal.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2-Implementar un predicado assertb/1 que replique el funcionamiento de asserta/1 pero que permita su recuperación frente a un retroceso .Esto es, que sometido a un retroceso permita tanto eliminar la cláusula previamente introducida,como continuar con el retroceso iniciado.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assertb(A):-asserta(P).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assert(P):- retract(P),fail.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3-Determinar el dominio de terminación de predicado union/3 dado por: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union(Conj,[],Conj.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union(Conj,[Car|Cdr],Union_Con_Cdr):- miembro(Car,Conj), !,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union(Conj,Cdr,Union_Con_Cdr).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union(Conj,[Car|Cdr],[Car|Union_Con_Cdr]):- union(Conj,Cdr,Union_Con_Cdr)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miembro(Elemento,[Elemento| _ ]):- !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miembro(Elemento,[ _|Cdr]):- miembro(Elemento,Cdr).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4- resolver(D,O,N,A,L,G,E,R,B,T) capaz de resolver el siguiente problema de criptoaritmetica: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DONALD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+</w:t>
        <w:tab/>
      </w:r>
      <w:r w:rsidDel="00000000" w:rsidR="00000000" w:rsidRPr="00000000">
        <w:rPr>
          <w:b w:val="1"/>
          <w:u w:val="single"/>
          <w:rtl w:val="0"/>
        </w:rPr>
        <w:t xml:space="preserve">GERARD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ROBERT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