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3428</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May 26,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Fellow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currently involved in approximately 40 active projects across the Department of Surgery, including around 25 projects in active phases such as patient recruitment, data collection, data analysis, and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Fellow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MRFA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