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197</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21</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38</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3533</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September 15,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3533</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25</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Surgical Innovation · Artificial Intelligence &amp; Computer Vision · Digital Health &amp; Wearable Sensing · Predictive Modeling · Patient-Centered Surgical Outcomes</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Department of Surgery – Surgical Innovation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Affiliation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t>Secondary research appointment in the A-Star Lab (Artificial Intelligence &amp; Surgical Technologies) alongside the Department of Surgery – Surgical Innovation fellowship.</w:t>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involved in approximately 40 projects across the Department of Surgery, including more than 30 IRB-approved studies and approximately 25 projects in active phases such as patient recruitment, data collection, data analysis, or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Mayo Research Fellows' Association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31</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6</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after="40"/>
        <w:ind w:left="360" w:hanging="360"/>
      </w:pPr>
      <w:r>
        <w:rPr>
          <w:rFonts w:ascii="Arial" w:hAnsi="Arial" w:eastAsia="Arial"/>
          <w:b/>
          <w:i w:val="0"/>
          <w:color w:val="1F3864"/>
          <w:sz w:val="16"/>
        </w:rPr>
        <w:t xml:space="preserve">194. </w:t>
      </w:r>
      <w:r>
        <w:rPr>
          <w:rFonts w:ascii="Arial" w:hAnsi="Arial" w:eastAsia="Arial"/>
          <w:b w:val="0"/>
          <w:i w:val="0"/>
          <w:sz w:val="16"/>
        </w:rPr>
        <w:t xml:space="preserve">Wu KY*, Stephens T, </w:t>
      </w:r>
      <w:r>
        <w:rPr>
          <w:rFonts w:ascii="Arial" w:hAnsi="Arial" w:eastAsia="Arial"/>
          <w:b/>
          <w:i w:val="0"/>
          <w:sz w:val="16"/>
        </w:rPr>
        <w:t>Shahriarirad R</w:t>
      </w:r>
      <w:r>
        <w:rPr>
          <w:rFonts w:ascii="Arial" w:hAnsi="Arial" w:eastAsia="Arial"/>
          <w:b w:val="0"/>
          <w:i w:val="0"/>
          <w:sz w:val="16"/>
        </w:rPr>
        <w:t>, Rhee PC</w:t>
      </w:r>
      <w:r>
        <w:rPr>
          <w:rFonts w:ascii="Arial" w:hAnsi="Arial" w:eastAsia="Arial"/>
          <w:b w:val="0"/>
          <w:i w:val="0"/>
          <w:sz w:val="16"/>
        </w:rPr>
        <w:t xml:space="preserve"> Nerve Transfers to Rebalance the Spastic Wrist: An Anatomical Feasibility Study. </w:t>
      </w:r>
      <w:r>
        <w:rPr>
          <w:rFonts w:ascii="Arial" w:hAnsi="Arial" w:eastAsia="Arial"/>
          <w:b w:val="0"/>
          <w:i/>
          <w:sz w:val="16"/>
        </w:rPr>
        <w:t>Journal of Hand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196. </w:t>
      </w:r>
      <w:r>
        <w:rPr>
          <w:rFonts w:ascii="Arial" w:hAnsi="Arial" w:eastAsia="Arial"/>
          <w:b w:val="0"/>
          <w:i w:val="0"/>
          <w:sz w:val="16"/>
        </w:rPr>
        <w:t xml:space="preserve">Rao V, Chen E, Saenz A, Banerjee O, Marklund H, … </w:t>
      </w:r>
      <w:r>
        <w:rPr>
          <w:rFonts w:ascii="Arial" w:hAnsi="Arial" w:eastAsia="Arial"/>
          <w:b/>
          <w:i w:val="0"/>
          <w:sz w:val="16"/>
        </w:rPr>
        <w:t>Shahriarirad R</w:t>
      </w:r>
      <w:r>
        <w:rPr>
          <w:rFonts w:ascii="Arial" w:hAnsi="Arial" w:eastAsia="Arial"/>
          <w:b w:val="0"/>
          <w:i w:val="0"/>
          <w:sz w:val="16"/>
        </w:rPr>
        <w:t>, Erfani A, … Rajpurkar P*</w:t>
      </w:r>
      <w:r>
        <w:rPr>
          <w:rFonts w:ascii="Arial" w:hAnsi="Arial" w:eastAsia="Arial"/>
          <w:b w:val="0"/>
          <w:i w:val="0"/>
          <w:sz w:val="16"/>
        </w:rPr>
        <w:t xml:space="preserve"> Repurposing Adult AI Radiograph Models for Neonatal Care Through Continual Learning: An International Multicenter Study. </w:t>
      </w:r>
      <w:r>
        <w:rPr>
          <w:rFonts w:ascii="Arial" w:hAnsi="Arial" w:eastAsia="Arial"/>
          <w:b w:val="0"/>
          <w:i/>
          <w:sz w:val="16"/>
        </w:rPr>
        <w:t>Nature Biomedical Engineering</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197. </w:t>
      </w:r>
      <w:r>
        <w:rPr>
          <w:rFonts w:ascii="Arial" w:hAnsi="Arial" w:eastAsia="Arial"/>
          <w:b/>
          <w:i w:val="0"/>
          <w:sz w:val="16"/>
        </w:rPr>
        <w:t>Shahriarirad R</w:t>
      </w:r>
      <w:r>
        <w:rPr>
          <w:rFonts w:ascii="Arial" w:hAnsi="Arial" w:eastAsia="Arial"/>
          <w:b w:val="0"/>
          <w:i w:val="0"/>
          <w:sz w:val="16"/>
        </w:rPr>
        <w:t>, Kalhor P, Aslahishahri M, Ghusn W, Attia ZI, El Ghazal N, Ghanem OM, Laplante S*</w:t>
      </w:r>
      <w:r>
        <w:rPr>
          <w:rFonts w:ascii="Arial" w:hAnsi="Arial" w:eastAsia="Arial"/>
          <w:b w:val="0"/>
          <w:i w:val="0"/>
          <w:sz w:val="16"/>
        </w:rPr>
        <w:t xml:space="preserve"> Metabolic and Bariatric Surgery and Change in the AI-ECG–Derived Biological-Age Gap: A Longitudinal Cohort Study. </w:t>
      </w:r>
      <w:r>
        <w:rPr>
          <w:rFonts w:ascii="Arial" w:hAnsi="Arial" w:eastAsia="Arial"/>
          <w:b w:val="0"/>
          <w:i/>
          <w:sz w:val="16"/>
        </w:rPr>
        <w:t>Obesity Surgery</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193. </w:t>
      </w:r>
      <w:r>
        <w:rPr>
          <w:rFonts w:ascii="Arial" w:hAnsi="Arial" w:eastAsia="Arial"/>
          <w:b w:val="0"/>
          <w:i w:val="0"/>
          <w:sz w:val="16"/>
        </w:rPr>
        <w:t xml:space="preserve">Kumar R*, Hashempour Z, Shahriarirad S, </w:t>
      </w:r>
      <w:r>
        <w:rPr>
          <w:rFonts w:ascii="Arial" w:hAnsi="Arial" w:eastAsia="Arial"/>
          <w:b/>
          <w:i w:val="0"/>
          <w:sz w:val="16"/>
        </w:rPr>
        <w:t>Shahriarirad R</w:t>
      </w:r>
      <w:r>
        <w:rPr>
          <w:rFonts w:ascii="Arial" w:hAnsi="Arial" w:eastAsia="Arial"/>
          <w:b w:val="0"/>
          <w:i w:val="0"/>
          <w:sz w:val="16"/>
        </w:rPr>
        <w:t>, Hassett LC, Singh B, Croarkin PE, Veldic M, Frye MA, Pagali SR</w:t>
      </w:r>
      <w:r>
        <w:rPr>
          <w:rFonts w:ascii="Arial" w:hAnsi="Arial" w:eastAsia="Arial"/>
          <w:b w:val="0"/>
          <w:i w:val="0"/>
          <w:sz w:val="16"/>
        </w:rPr>
        <w:t xml:space="preserve"> Current Evidence of Acetyl-L-Carnitine Use in Mood Disorders: A Systematic Review and Meta-Analysis. </w:t>
      </w:r>
      <w:r>
        <w:rPr>
          <w:rFonts w:ascii="Arial" w:hAnsi="Arial" w:eastAsia="Arial"/>
          <w:b w:val="0"/>
          <w:i/>
          <w:sz w:val="16"/>
        </w:rPr>
        <w:t>Neuropsychiatric Disease and Treatment</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without Bone Marrow Involvement and Following Autologous Bone Marrow Transplant: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195. </w:t>
      </w:r>
      <w:r>
        <w:rPr>
          <w:rFonts w:ascii="Arial" w:hAnsi="Arial" w:eastAsia="Arial"/>
          <w:b w:val="0"/>
          <w:i w:val="0"/>
          <w:sz w:val="16"/>
        </w:rPr>
        <w:t xml:space="preserve">Mardani P, Hashempour Z*, </w:t>
      </w:r>
      <w:r>
        <w:rPr>
          <w:rFonts w:ascii="Arial" w:hAnsi="Arial" w:eastAsia="Arial"/>
          <w:b/>
          <w:i w:val="0"/>
          <w:sz w:val="16"/>
        </w:rPr>
        <w:t>Shahriarirad R</w:t>
      </w:r>
      <w:r>
        <w:rPr>
          <w:rFonts w:ascii="Arial" w:hAnsi="Arial" w:eastAsia="Arial"/>
          <w:b w:val="0"/>
          <w:i w:val="0"/>
          <w:sz w:val="16"/>
        </w:rPr>
        <w:t xml:space="preserve"> Epithelioid hemangioendothelioma prognosis and outcome: report of two challenging cases.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Jan 2027</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Femoral Nerve Procedures for the Spastic Knee: A Clinical and Anatomic Study</w:t>
            </w:r>
          </w:p>
        </w:tc>
        <w:tc>
          <w:tcPr>
            <w:tcW w:type="dxa" w:w="2880"/>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AI-Based Computer Vision System for Surgical Decision Support in Abdominal Wall Reconstruction Using CT Imaging</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Five-Year Utilization, Predictors, and Weight-Loss Thresholds for Plastic Surgery After Bariatric Surgery</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Mayo Obesity Staging Index (MOSI): Development of a Staging Framework for Metabolic Surgery</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Metabolic Surgery Improves Biological Aging as Assessed by AI-Derived Electrocardiogram Age</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Minnesota Surgical Society Annual Meeting 2026;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The Mayo Obesity Staging Index (MOSI): A Novel Staging Framework for Metabolic Surgery</w:t>
            </w:r>
          </w:p>
        </w:tc>
        <w:tc>
          <w:tcPr>
            <w:tcW w:type="dxa" w:w="2880"/>
            <w:vAlign w:val="center"/>
          </w:tcPr>
          <w:p>
            <w:pPr>
              <w:spacing w:after="0"/>
            </w:pPr>
            <w:r/>
            <w:r>
              <w:rPr>
                <w:rFonts w:ascii="Arial" w:hAnsi="Arial" w:eastAsia="Arial"/>
                <w:b w:val="0"/>
                <w:i w:val="0"/>
                <w:sz w:val="17"/>
              </w:rPr>
              <w:t>Minnesota Surgical Society Annual Meeting 2026;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Sep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Clinical Features and Outcomes of Microvascular Free Flap Reconstruction of the Head and Neck</w:t>
            </w:r>
          </w:p>
        </w:tc>
        <w:tc>
          <w:tcPr>
            <w:tcW w:type="dxa" w:w="2880"/>
            <w:vAlign w:val="center"/>
          </w:tcPr>
          <w:p>
            <w:pPr>
              <w:spacing w:after="0"/>
            </w:pPr>
            <w:r/>
            <w:r>
              <w:rPr>
                <w:rFonts w:ascii="Arial" w:hAnsi="Arial" w:eastAsia="Arial"/>
                <w:b w:val="0"/>
                <w:i w:val="0"/>
                <w:sz w:val="17"/>
              </w:rPr>
              <w:t>American College of Surgeons (ACS) Clinical Congress;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Jul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2026 Mayo Clinic Quality Conference;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22</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23</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24</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25</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26</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27</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28</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29</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30</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31</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