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51</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3582</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October 27,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3582</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Sep 2026</w:t>
            </w:r>
          </w:p>
        </w:tc>
        <w:tc>
          <w:tcPr>
            <w:tcW w:type="dxa" w:w="2592"/>
            <w:vAlign w:val="center"/>
          </w:tcPr>
          <w:p>
            <w:pPr>
              <w:spacing w:after="0"/>
            </w:pPr>
            <w:r/>
            <w:r>
              <w:rPr>
                <w:rFonts w:ascii="Arial" w:hAnsi="Arial" w:eastAsia="Arial"/>
                <w:b w:val="0"/>
                <w:i w:val="0"/>
                <w:sz w:val="17"/>
              </w:rPr>
              <w:t>Teaching Assistant – ACS Clinical Congress 2026 Hands-On AI Course (Computer Vision Session)</w:t>
            </w:r>
          </w:p>
        </w:tc>
        <w:tc>
          <w:tcPr>
            <w:tcW w:type="dxa" w:w="2592"/>
            <w:vAlign w:val="center"/>
          </w:tcPr>
          <w:p>
            <w:pPr>
              <w:spacing w:after="0"/>
            </w:pPr>
            <w:r/>
            <w:r>
              <w:rPr>
                <w:rFonts w:ascii="Arial" w:hAnsi="Arial" w:eastAsia="Arial"/>
                <w:b w:val="0"/>
                <w:i w:val="0"/>
                <w:sz w:val="17"/>
              </w:rPr>
              <w:t>American College of Surgeons Clinical Congress 2026, Washington, DC</w:t>
            </w:r>
          </w:p>
        </w:tc>
        <w:tc>
          <w:tcPr>
            <w:tcW w:type="dxa" w:w="2592"/>
            <w:vAlign w:val="center"/>
          </w:tcPr>
          <w:p>
            <w:pPr>
              <w:spacing w:after="0"/>
            </w:pPr>
            <w:r/>
            <w:r>
              <w:rPr>
                <w:rFonts w:ascii="Arial" w:hAnsi="Arial" w:eastAsia="Arial"/>
                <w:b w:val="0"/>
                <w:i w:val="0"/>
                <w:sz w:val="17"/>
              </w:rPr>
              <w:t>Taught in the computer vision session of the ACS hands-on course “AI Skills: What Can I Do Now and What's Coming in the Future?” as part of the A-Star Lab faculty team, alongside faculty from Moonshot AI and Stanford University. Guided surgeons and clinicians as they annotated laparoscopic cholecystectomy frames in teams, labeling anatomy and instruments, then trained models on their own labels and compared the results side by side to see how annotation quality shapes what AI learns to see.</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33</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Nerve- and Tendon-Based Procedures for Spastic Calcaneal, Planovalgus, and Striatal Toe Deformities: An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Sciatic Nerve Procedures for the Spastic Knee in Ambulatory Patients: An Anatomic Study and Case Report</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32</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33</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