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3428</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June 15,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3428</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Fellow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currently involved in approximately 40 active projects across the Department of Surgery, including around 25 projects in active phases such as patient recruitment, data collection, data analysis, and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Fellow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MRFA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