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197</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38</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3496</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September 14,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3496</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24</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31</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6</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Wu KY*, Stephens T, </w:t>
      </w:r>
      <w:r>
        <w:rPr>
          <w:rFonts w:ascii="Arial" w:hAnsi="Arial" w:eastAsia="Arial"/>
          <w:b/>
          <w:i w:val="0"/>
          <w:sz w:val="16"/>
        </w:rPr>
        <w:t>Shahriarirad R</w:t>
      </w:r>
      <w:r>
        <w:rPr>
          <w:rFonts w:ascii="Arial" w:hAnsi="Arial" w:eastAsia="Arial"/>
          <w:b w:val="0"/>
          <w:i w:val="0"/>
          <w:sz w:val="16"/>
        </w:rPr>
        <w:t>, Rhee PC</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196. </w:t>
      </w:r>
      <w:r>
        <w:rPr>
          <w:rFonts w:ascii="Arial" w:hAnsi="Arial" w:eastAsia="Arial"/>
          <w:b w:val="0"/>
          <w:i w:val="0"/>
          <w:sz w:val="16"/>
        </w:rPr>
        <w:t xml:space="preserve">Rao V, Chen E, Saenz A, Banerjee O, Marklund H, … </w:t>
      </w:r>
      <w:r>
        <w:rPr>
          <w:rFonts w:ascii="Arial" w:hAnsi="Arial" w:eastAsia="Arial"/>
          <w:b/>
          <w:i w:val="0"/>
          <w:sz w:val="16"/>
        </w:rPr>
        <w:t>Shahriarirad R</w:t>
      </w:r>
      <w:r>
        <w:rPr>
          <w:rFonts w:ascii="Arial" w:hAnsi="Arial" w:eastAsia="Arial"/>
          <w:b w:val="0"/>
          <w:i w:val="0"/>
          <w:sz w:val="16"/>
        </w:rPr>
        <w:t>, Erfani A, … Rajpurkar P*</w:t>
      </w:r>
      <w:r>
        <w:rPr>
          <w:rFonts w:ascii="Arial" w:hAnsi="Arial" w:eastAsia="Arial"/>
          <w:b w:val="0"/>
          <w:i w:val="0"/>
          <w:sz w:val="16"/>
        </w:rPr>
        <w:t xml:space="preserve"> Repurposing Adult AI Radiograph Models for Neonatal Care Through Continual Learning: An International Multicenter Study. </w:t>
      </w:r>
      <w:r>
        <w:rPr>
          <w:rFonts w:ascii="Arial" w:hAnsi="Arial" w:eastAsia="Arial"/>
          <w:b w:val="0"/>
          <w:i/>
          <w:sz w:val="16"/>
        </w:rPr>
        <w:t>Nature Biomedical Engineering</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197. </w:t>
      </w:r>
      <w:r>
        <w:rPr>
          <w:rFonts w:ascii="Arial" w:hAnsi="Arial" w:eastAsia="Arial"/>
          <w:b/>
          <w:i w:val="0"/>
          <w:sz w:val="16"/>
        </w:rPr>
        <w:t>Shahriarirad R</w:t>
      </w:r>
      <w:r>
        <w:rPr>
          <w:rFonts w:ascii="Arial" w:hAnsi="Arial" w:eastAsia="Arial"/>
          <w:b w:val="0"/>
          <w:i w:val="0"/>
          <w:sz w:val="16"/>
        </w:rPr>
        <w:t>, Kalhor P, Aslahishahri M, Ghusn W, Attia ZI, El Ghazal N, Ghanem OM, Laplante S*</w:t>
      </w:r>
      <w:r>
        <w:rPr>
          <w:rFonts w:ascii="Arial" w:hAnsi="Arial" w:eastAsia="Arial"/>
          <w:b w:val="0"/>
          <w:i w:val="0"/>
          <w:sz w:val="16"/>
        </w:rPr>
        <w:t xml:space="preserve"> Metabolic and Bariatric Surgery and Change in the AI-ECG–Derived Biological-Age Gap: A Longitudinal Cohort Study. </w:t>
      </w:r>
      <w:r>
        <w:rPr>
          <w:rFonts w:ascii="Arial" w:hAnsi="Arial" w:eastAsia="Arial"/>
          <w:b w:val="0"/>
          <w:i/>
          <w:sz w:val="16"/>
        </w:rPr>
        <w:t>Obesity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without Bone Marrow Involvement and Following Autologous Bone Marrow Transplant: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195. </w:t>
      </w:r>
      <w:r>
        <w:rPr>
          <w:rFonts w:ascii="Arial" w:hAnsi="Arial" w:eastAsia="Arial"/>
          <w:b w:val="0"/>
          <w:i w:val="0"/>
          <w:sz w:val="16"/>
        </w:rPr>
        <w:t xml:space="preserve">Mardani P, Hashempour Z*, </w:t>
      </w:r>
      <w:r>
        <w:rPr>
          <w:rFonts w:ascii="Arial" w:hAnsi="Arial" w:eastAsia="Arial"/>
          <w:b/>
          <w:i w:val="0"/>
          <w:sz w:val="16"/>
        </w:rPr>
        <w:t>Shahriarirad R</w:t>
      </w:r>
      <w:r>
        <w:rPr>
          <w:rFonts w:ascii="Arial" w:hAnsi="Arial" w:eastAsia="Arial"/>
          <w:b w:val="0"/>
          <w:i w:val="0"/>
          <w:sz w:val="16"/>
        </w:rPr>
        <w:t xml:space="preserve"> Epithelioid hemangioendothelioma prognosis and outcome: report of two challenging cases.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22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28</w:t>
            </w:r>
          </w:p>
        </w:tc>
        <w:tc>
          <w:tcPr>
            <w:tcW w:type="dxa" w:w="1152"/>
            <w:vAlign w:val="center"/>
          </w:tcPr>
          <w:p>
            <w:pPr>
              <w:spacing w:after="0"/>
            </w:pPr>
            <w:r/>
            <w:r>
              <w:rPr>
                <w:rFonts w:ascii="Arial" w:hAnsi="Arial" w:eastAsia="Arial"/>
                <w:b w:val="0"/>
                <w:i w:val="0"/>
                <w:sz w:val="17"/>
              </w:rPr>
              <w:t>Sep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880"/>
            <w:vAlign w:val="center"/>
          </w:tcPr>
          <w:p>
            <w:pPr>
              <w:spacing w:after="0"/>
            </w:pPr>
            <w:r/>
            <w:r>
              <w:rPr>
                <w:rFonts w:ascii="Arial" w:hAnsi="Arial" w:eastAsia="Arial"/>
                <w:b w:val="0"/>
                <w:i w:val="0"/>
                <w:sz w:val="17"/>
              </w:rPr>
              <w:t>American College of Surgeons (ACS) Clinical Congress; United States</w:t>
            </w:r>
          </w:p>
        </w:tc>
      </w:tr>
      <w:tr>
        <w:tc>
          <w:tcPr>
            <w:tcW w:type="dxa" w:w="504"/>
            <w:vAlign w:val="center"/>
          </w:tcPr>
          <w:p>
            <w:pPr>
              <w:spacing w:after="0"/>
            </w:pPr>
            <w:r/>
            <w:r>
              <w:rPr>
                <w:rFonts w:ascii="Arial" w:hAnsi="Arial" w:eastAsia="Arial"/>
                <w:b w:val="0"/>
                <w:i w:val="0"/>
                <w:sz w:val="17"/>
              </w:rPr>
              <w:t>29</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Femoral Nerve Procedures for the Spastic Knee: A Clinical and Anatomic Study</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30</w:t>
            </w:r>
          </w:p>
        </w:tc>
        <w:tc>
          <w:tcPr>
            <w:tcW w:type="dxa" w:w="1152"/>
            <w:vAlign w:val="center"/>
          </w:tcPr>
          <w:p>
            <w:pPr>
              <w:spacing w:after="0"/>
            </w:pPr>
            <w:r/>
            <w:r>
              <w:rPr>
                <w:rFonts w:ascii="Arial" w:hAnsi="Arial" w:eastAsia="Arial"/>
                <w:b w:val="0"/>
                <w:i w:val="0"/>
                <w:sz w:val="17"/>
              </w:rPr>
              <w:t>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Minnesota Surgical Society Annual Meeting 2026; United States</w:t>
            </w:r>
          </w:p>
        </w:tc>
      </w:tr>
      <w:tr>
        <w:tc>
          <w:tcPr>
            <w:tcW w:type="dxa" w:w="504"/>
            <w:vAlign w:val="center"/>
          </w:tcPr>
          <w:p>
            <w:pPr>
              <w:spacing w:after="0"/>
            </w:pPr>
            <w:r/>
            <w:r>
              <w:rPr>
                <w:rFonts w:ascii="Arial" w:hAnsi="Arial" w:eastAsia="Arial"/>
                <w:b w:val="0"/>
                <w:i w:val="0"/>
                <w:sz w:val="17"/>
              </w:rPr>
              <w:t>31</w:t>
            </w:r>
          </w:p>
        </w:tc>
        <w:tc>
          <w:tcPr>
            <w:tcW w:type="dxa" w:w="1152"/>
            <w:vAlign w:val="center"/>
          </w:tcPr>
          <w:p>
            <w:pPr>
              <w:spacing w:after="0"/>
            </w:pPr>
            <w:r/>
            <w:r>
              <w:rPr>
                <w:rFonts w:ascii="Arial" w:hAnsi="Arial" w:eastAsia="Arial"/>
                <w:b w:val="0"/>
                <w:i w:val="0"/>
                <w:sz w:val="17"/>
              </w:rPr>
              <w:t>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The Mayo Obesity Staging Index (MOSI): A Novel Staging Framework for Metabolic Surgery</w:t>
            </w:r>
          </w:p>
        </w:tc>
        <w:tc>
          <w:tcPr>
            <w:tcW w:type="dxa" w:w="2880"/>
            <w:vAlign w:val="center"/>
          </w:tcPr>
          <w:p>
            <w:pPr>
              <w:spacing w:after="0"/>
            </w:pPr>
            <w:r/>
            <w:r>
              <w:rPr>
                <w:rFonts w:ascii="Arial" w:hAnsi="Arial" w:eastAsia="Arial"/>
                <w:b w:val="0"/>
                <w:i w:val="0"/>
                <w:sz w:val="17"/>
              </w:rPr>
              <w:t>Minnesota Surgical Society Annual Meeting 2026; United States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