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192</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37</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3428</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May 27,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3428</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24</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Surgery · Minimally Invasive Surgery · Artificial Intelligence</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Surgery Innovation Center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Fellow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currently involved in approximately 40 active projects across the Department of Surgery, including around 25 projects in active phases such as patient recruitment, data collection, data analysis, and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Fellow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MRFA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21</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19</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2</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 MStar Lab: https://www.mstarlab.com/team</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