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Department of Surgery - Surgical Innovation ·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20" w:after="120"/>
        <w:pBdr>
          <w:bottom w:val="single" w:sz="8" w:space="1" w:color="B8953A"/>
        </w:pBdr>
      </w:pPr>
    </w:p>
    <w:p>
      <w:pPr>
        <w:spacing w:before="180" w:after="60"/>
        <w:pBdr>
          <w:bottom w:val="single" w:sz="6" w:space="1" w:color="B8953A"/>
        </w:pBdr>
      </w:pPr>
      <w:r>
        <w:rPr>
          <w:rFonts w:ascii="Arial" w:hAnsi="Arial" w:eastAsia="Arial"/>
          <w:b/>
          <w:i w:val="0"/>
          <w:color w:val="1F3864"/>
          <w:sz w:val="21"/>
        </w:rPr>
        <w:t>RESEARCH SUMMARY</w:t>
      </w:r>
    </w:p>
    <w:p>
      <w:pPr>
        <w:spacing w:after="80" w:before="0"/>
      </w:pPr>
      <w:r>
        <w:rPr>
          <w:rFonts w:ascii="Arial" w:hAnsi="Arial" w:eastAsia="Arial"/>
          <w:b w:val="0"/>
          <w:i w:val="0"/>
          <w:sz w:val="18"/>
        </w:rPr>
        <w:t>Physician-scientist and research fellow focused on surgical innovation, artificial intelligence in medicine, digital health, patient-centered outcomes, and surgical education. My work includes developing clinical research tools, leading multidisciplinary projects, evaluating online health information, designing AI- and computer vision-based studies, and translating clinical problems into practical scientific and technological solutions. My long-term goal is to become a surgeon-scientist who advances surgical care through innovative, evidence-based, and patient-centered approaches.</w:t>
      </w:r>
    </w:p>
    <w:p>
      <w:pPr>
        <w:spacing w:before="180" w:after="60"/>
        <w:pBdr>
          <w:bottom w:val="single" w:sz="6" w:space="1" w:color="B8953A"/>
        </w:pBdr>
      </w:pPr>
      <w:r>
        <w:rPr>
          <w:rFonts w:ascii="Arial" w:hAnsi="Arial" w:eastAsia="Arial"/>
          <w:b/>
          <w:i w:val="0"/>
          <w:color w:val="1F3864"/>
          <w:sz w:val="21"/>
        </w:rPr>
        <w:t>PUBLICATION METRICS</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192</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20</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37</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68</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3428</w:t>
            </w:r>
          </w:p>
        </w:tc>
      </w:tr>
    </w:tbl>
    <w:p>
      <w:pPr>
        <w:spacing w:after="40" w:before="0"/>
      </w:pPr>
    </w:p>
    <w:p>
      <w:pPr>
        <w:spacing w:before="180" w:after="60"/>
        <w:pBdr>
          <w:bottom w:val="single" w:sz="6" w:space="1" w:color="B8953A"/>
        </w:pBdr>
      </w:pPr>
      <w:r>
        <w:rPr>
          <w:rFonts w:ascii="Arial" w:hAnsi="Arial" w:eastAsia="Arial"/>
          <w:b/>
          <w:i w:val="0"/>
          <w:color w:val="1F3864"/>
          <w:sz w:val="21"/>
        </w:rPr>
        <w:t>PERSONAL INFORMATION</w:t>
      </w:r>
    </w:p>
    <w:tbl>
      <w:tblPr>
        <w:tblStyle w:val="TableGrid"/>
        <w:tblW w:type="auto" w:w="0"/>
        <w:jc w:val="left"/>
        <w:tblLayout w:type="autofit"/>
        <w:tblLook w:firstColumn="1" w:firstRow="1" w:lastColumn="0" w:lastRow="0" w:noHBand="0" w:noVBand="1" w:val="04A0"/>
      </w:tblPr>
      <w:tblGrid>
        <w:gridCol w:w="5184"/>
        <w:gridCol w:w="5184"/>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July 13,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3428</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24</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Surgery · Minimally Invasive Surgery · Artificial Intelligence</w:t>
            </w:r>
          </w:p>
        </w:tc>
      </w:tr>
    </w:tbl>
    <w:p>
      <w:pPr>
        <w:spacing w:after="40" w:before="0"/>
      </w:pPr>
    </w:p>
    <w:p>
      <w:pPr>
        <w:spacing w:before="180" w:after="60"/>
        <w:pBdr>
          <w:bottom w:val="single" w:sz="6" w:space="1" w:color="B8953A"/>
        </w:pBdr>
      </w:pPr>
      <w:r>
        <w:rPr>
          <w:rFonts w:ascii="Arial" w:hAnsi="Arial" w:eastAsia="Arial"/>
          <w:b/>
          <w:i w:val="0"/>
          <w:color w:val="1F3864"/>
          <w:sz w:val="21"/>
        </w:rPr>
        <w:t>EDUCATION</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Degree</w:t>
            </w:r>
          </w:p>
        </w:tc>
        <w:tc>
          <w:tcPr>
            <w:tcW w:type="dxa" w:w="2592"/>
            <w:vAlign w:val="center"/>
            <w:shd w:fill="D9EAF7"/>
          </w:tcPr>
          <w:p>
            <w:pPr>
              <w:spacing w:after="0"/>
            </w:pPr>
            <w:r/>
            <w:r>
              <w:rPr>
                <w:rFonts w:ascii="Arial" w:hAnsi="Arial" w:eastAsia="Arial"/>
                <w:b/>
                <w:i w:val="0"/>
                <w:color w:val="1F3864"/>
                <w:sz w:val="17"/>
              </w:rPr>
              <w:t>Institution</w:t>
            </w:r>
          </w:p>
        </w:tc>
        <w:tc>
          <w:tcPr>
            <w:tcW w:type="dxa" w:w="2592"/>
            <w:vAlign w:val="center"/>
            <w:shd w:fill="D9EAF7"/>
          </w:tcPr>
          <w:p>
            <w:pPr>
              <w:spacing w:after="0"/>
            </w:pPr>
            <w:r/>
            <w:r>
              <w:rPr>
                <w:rFonts w:ascii="Arial" w:hAnsi="Arial" w:eastAsia="Arial"/>
                <w:b/>
                <w:i w:val="0"/>
                <w:color w:val="1F3864"/>
                <w:sz w:val="17"/>
              </w:rPr>
              <w:t>Location</w:t>
            </w:r>
          </w:p>
        </w:tc>
      </w:tr>
      <w:tr>
        <w:tc>
          <w:tcPr>
            <w:tcW w:type="dxa" w:w="2592"/>
            <w:vAlign w:val="center"/>
          </w:tcPr>
          <w:p>
            <w:pPr>
              <w:spacing w:after="0"/>
            </w:pPr>
            <w:r/>
            <w:r>
              <w:rPr>
                <w:rFonts w:ascii="Arial" w:hAnsi="Arial" w:eastAsia="Arial"/>
                <w:b w:val="0"/>
                <w:i w:val="0"/>
                <w:sz w:val="17"/>
              </w:rPr>
              <w:t>2013 – 2020</w:t>
            </w:r>
          </w:p>
        </w:tc>
        <w:tc>
          <w:tcPr>
            <w:tcW w:type="dxa" w:w="2592"/>
            <w:vAlign w:val="center"/>
          </w:tcPr>
          <w:p>
            <w:pPr>
              <w:spacing w:after="0"/>
            </w:pPr>
            <w:r/>
            <w:r>
              <w:rPr>
                <w:rFonts w:ascii="Arial" w:hAnsi="Arial" w:eastAsia="Arial"/>
                <w:b w:val="0"/>
                <w:i w:val="0"/>
                <w:sz w:val="17"/>
              </w:rPr>
              <w:t>Doctor of Medicine (M.D.)</w:t>
            </w:r>
          </w:p>
        </w:tc>
        <w:tc>
          <w:tcPr>
            <w:tcW w:type="dxa" w:w="2592"/>
            <w:vAlign w:val="center"/>
          </w:tcPr>
          <w:p>
            <w:pPr>
              <w:spacing w:after="0"/>
            </w:pPr>
            <w:r/>
            <w:r>
              <w:rPr>
                <w:rFonts w:ascii="Arial" w:hAnsi="Arial" w:eastAsia="Arial"/>
                <w:b w:val="0"/>
                <w:i w:val="0"/>
                <w:sz w:val="17"/>
              </w:rPr>
              <w:t>Shiraz University of Medical Sciences · Shiraz, Iran (SUMS)</w:t>
            </w:r>
          </w:p>
        </w:tc>
        <w:tc>
          <w:tcPr>
            <w:tcW w:type="dxa" w:w="2592"/>
            <w:vAlign w:val="center"/>
          </w:tcPr>
          <w:p>
            <w:pPr>
              <w:spacing w:after="0"/>
            </w:pPr>
            <w:r/>
            <w:r>
              <w:rPr>
                <w:rFonts w:ascii="Arial" w:hAnsi="Arial" w:eastAsia="Arial"/>
                <w:b w:val="0"/>
                <w:i w:val="0"/>
                <w:sz w:val="17"/>
              </w:rPr>
              <w:t>Shiraz, Iran</w:t>
            </w:r>
          </w:p>
        </w:tc>
      </w:tr>
      <w:tr>
        <w:tc>
          <w:tcPr>
            <w:tcW w:type="dxa" w:w="2592"/>
            <w:vAlign w:val="center"/>
          </w:tcPr>
          <w:p>
            <w:pPr>
              <w:spacing w:after="0"/>
            </w:pPr>
            <w:r/>
            <w:r>
              <w:rPr>
                <w:rFonts w:ascii="Arial" w:hAnsi="Arial" w:eastAsia="Arial"/>
                <w:b w:val="0"/>
                <w:i w:val="0"/>
                <w:sz w:val="17"/>
              </w:rPr>
              <w:t>2009 – 2013</w:t>
            </w:r>
          </w:p>
        </w:tc>
        <w:tc>
          <w:tcPr>
            <w:tcW w:type="dxa" w:w="2592"/>
            <w:vAlign w:val="center"/>
          </w:tcPr>
          <w:p>
            <w:pPr>
              <w:spacing w:after="0"/>
            </w:pPr>
            <w:r/>
            <w:r>
              <w:rPr>
                <w:rFonts w:ascii="Arial" w:hAnsi="Arial" w:eastAsia="Arial"/>
                <w:b w:val="0"/>
                <w:i w:val="0"/>
                <w:sz w:val="17"/>
              </w:rPr>
              <w:t>High School Diploma</w:t>
            </w:r>
          </w:p>
        </w:tc>
        <w:tc>
          <w:tcPr>
            <w:tcW w:type="dxa" w:w="2592"/>
            <w:vAlign w:val="center"/>
          </w:tcPr>
          <w:p>
            <w:pPr>
              <w:spacing w:after="0"/>
            </w:pPr>
            <w:r/>
            <w:r>
              <w:rPr>
                <w:rFonts w:ascii="Arial" w:hAnsi="Arial" w:eastAsia="Arial"/>
                <w:b w:val="0"/>
                <w:i w:val="0"/>
                <w:sz w:val="17"/>
              </w:rPr>
              <w:t>National Organization for Development of Exceptional Talents (SAMPAD)</w:t>
            </w:r>
          </w:p>
        </w:tc>
        <w:tc>
          <w:tcPr>
            <w:tcW w:type="dxa" w:w="2592"/>
            <w:vAlign w:val="center"/>
          </w:tcPr>
          <w:p>
            <w:pPr>
              <w:spacing w:after="0"/>
            </w:pPr>
            <w:r/>
            <w:r>
              <w:rPr>
                <w:rFonts w:ascii="Arial" w:hAnsi="Arial" w:eastAsia="Arial"/>
                <w:b w:val="0"/>
                <w:i w:val="0"/>
                <w:sz w:val="17"/>
              </w:rPr>
              <w:t>Shiraz, Iran</w:t>
            </w:r>
          </w:p>
        </w:tc>
      </w:tr>
    </w:tbl>
    <w:p>
      <w:pPr>
        <w:spacing w:after="40" w:before="0"/>
      </w:pPr>
    </w:p>
    <w:p>
      <w:pPr>
        <w:spacing w:before="180" w:after="60"/>
        <w:pBdr>
          <w:bottom w:val="single" w:sz="6" w:space="1" w:color="B8953A"/>
        </w:pBdr>
      </w:pPr>
      <w:r>
        <w:rPr>
          <w:rFonts w:ascii="Arial" w:hAnsi="Arial" w:eastAsia="Arial"/>
          <w:b/>
          <w:i w:val="0"/>
          <w:color w:val="1F3864"/>
          <w:sz w:val="21"/>
        </w:rPr>
        <w:t>WORKING AND PROFESSIONAL EXPERIENCE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 / organization</w:t>
            </w:r>
          </w:p>
        </w:tc>
        <w:tc>
          <w:tcPr>
            <w:tcW w:type="dxa" w:w="2592"/>
            <w:vAlign w:val="center"/>
            <w:shd w:fill="D9EAF7"/>
          </w:tcPr>
          <w:p>
            <w:pPr>
              <w:spacing w:after="0"/>
            </w:pPr>
            <w:r/>
            <w:r>
              <w:rPr>
                <w:rFonts w:ascii="Arial" w:hAnsi="Arial" w:eastAsia="Arial"/>
                <w:b/>
                <w:i w:val="0"/>
                <w:color w:val="1F3864"/>
                <w:sz w:val="17"/>
              </w:rPr>
              <w:t>Location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Research Fellow | Surgery Innovation Center · Mayo Clinic</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2025 – Present</w:t>
            </w:r>
          </w:p>
        </w:tc>
        <w:tc>
          <w:tcPr>
            <w:tcW w:type="dxa" w:w="2592"/>
            <w:vAlign w:val="center"/>
          </w:tcPr>
          <w:p>
            <w:pPr>
              <w:spacing w:after="0"/>
            </w:pPr>
            <w:r/>
            <w:r>
              <w:rPr>
                <w:rFonts w:ascii="Arial" w:hAnsi="Arial" w:eastAsia="Arial"/>
                <w:b w:val="0"/>
                <w:i w:val="0"/>
                <w:sz w:val="17"/>
              </w:rPr>
              <w:t>Research Fellow – A-Star Lab | Mayo Clinic</w:t>
            </w:r>
          </w:p>
        </w:tc>
        <w:tc>
          <w:tcPr>
            <w:tcW w:type="dxa" w:w="2592"/>
            <w:vAlign w:val="center"/>
          </w:tcPr>
          <w:p>
            <w:pPr>
              <w:spacing w:after="0"/>
            </w:pPr>
            <w:r/>
            <w:r>
              <w:rPr>
                <w:rFonts w:ascii="Arial" w:hAnsi="Arial" w:eastAsia="Arial"/>
                <w:b w:val="0"/>
                <w:i w:val="0"/>
                <w:sz w:val="17"/>
              </w:rPr>
              <w:t>Rochester, MN, USA</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2018 – 2024</w:t>
            </w:r>
          </w:p>
        </w:tc>
        <w:tc>
          <w:tcPr>
            <w:tcW w:type="dxa" w:w="259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2020 – 2022</w:t>
            </w:r>
          </w:p>
        </w:tc>
        <w:tc>
          <w:tcPr>
            <w:tcW w:type="dxa" w:w="2592"/>
            <w:vAlign w:val="center"/>
          </w:tcPr>
          <w:p>
            <w:pPr>
              <w:spacing w:after="0"/>
            </w:pPr>
            <w:r/>
            <w:r>
              <w:rPr>
                <w:rFonts w:ascii="Arial" w:hAnsi="Arial" w:eastAsia="Arial"/>
                <w:b w:val="0"/>
                <w:i w:val="0"/>
                <w:sz w:val="17"/>
              </w:rPr>
              <w:t>General Practitioner — Emergency Department | Khatam-al-Anbiya Hospital</w:t>
            </w:r>
          </w:p>
        </w:tc>
        <w:tc>
          <w:tcPr>
            <w:tcW w:type="dxa" w:w="2592"/>
            <w:vAlign w:val="center"/>
          </w:tcPr>
          <w:p>
            <w:pPr>
              <w:spacing w:after="0"/>
            </w:pPr>
            <w:r/>
            <w:r>
              <w:rPr>
                <w:rFonts w:ascii="Arial" w:hAnsi="Arial" w:eastAsia="Arial"/>
                <w:b w:val="0"/>
                <w:i w:val="0"/>
                <w:sz w:val="17"/>
              </w:rPr>
              <w:t>Bushehr, Iran</w:t>
            </w:r>
          </w:p>
        </w:tc>
        <w:tc>
          <w:tcPr>
            <w:tcW w:type="dxa" w:w="2592"/>
            <w:vAlign w:val="center"/>
          </w:tcPr>
          <w:p>
            <w:pPr>
              <w:spacing w:after="0"/>
            </w:pPr>
            <w:r/>
            <w:r>
              <w:rPr>
                <w:rFonts w:ascii="Arial" w:hAnsi="Arial" w:eastAsia="Arial"/>
                <w:b w:val="0"/>
                <w:i w:val="0"/>
                <w:sz w:val="17"/>
              </w:rPr>
              <w:t>Ministry of Health mandatory medical service.</w:t>
            </w:r>
          </w:p>
        </w:tc>
      </w:tr>
      <w:tr>
        <w:tc>
          <w:tcPr>
            <w:tcW w:type="dxa" w:w="2592"/>
            <w:vAlign w:val="center"/>
          </w:tcPr>
          <w:p>
            <w:pPr>
              <w:spacing w:after="0"/>
            </w:pPr>
            <w:r/>
            <w:r>
              <w:rPr>
                <w:rFonts w:ascii="Arial" w:hAnsi="Arial" w:eastAsia="Arial"/>
                <w:b w:val="0"/>
                <w:i w:val="0"/>
                <w:sz w:val="17"/>
              </w:rPr>
              <w:t>2014 – 2020</w:t>
            </w:r>
          </w:p>
        </w:tc>
        <w:tc>
          <w:tcPr>
            <w:tcW w:type="dxa" w:w="2592"/>
            <w:vAlign w:val="center"/>
          </w:tcPr>
          <w:p>
            <w:pPr>
              <w:spacing w:after="0"/>
            </w:pPr>
            <w:r/>
            <w:r>
              <w:rPr>
                <w:rFonts w:ascii="Arial" w:hAnsi="Arial" w:eastAsia="Arial"/>
                <w:b w:val="0"/>
                <w:i w:val="0"/>
                <w:sz w:val="17"/>
              </w:rPr>
              <w:t>Research Trainee – Student Research Committee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t>Participated in student-led clinical and translational research activities, including study design, data collection, manuscript preparation, and scientific collaboration.</w:t>
            </w:r>
          </w:p>
        </w:tc>
      </w:tr>
    </w:tbl>
    <w:p>
      <w:pPr>
        <w:spacing w:after="40" w:before="0"/>
      </w:pPr>
    </w:p>
    <w:p>
      <w:pPr>
        <w:spacing w:before="180" w:after="60"/>
        <w:pBdr>
          <w:bottom w:val="single" w:sz="6" w:space="1" w:color="B8953A"/>
        </w:pBdr>
      </w:pPr>
      <w:r>
        <w:rPr>
          <w:rFonts w:ascii="Arial" w:hAnsi="Arial" w:eastAsia="Arial"/>
          <w:b/>
          <w:i w:val="0"/>
          <w:color w:val="1F3864"/>
          <w:sz w:val="21"/>
        </w:rPr>
        <w:t>WORK AT MAYO CLINIC</w:t>
      </w:r>
    </w:p>
    <w:p>
      <w:pPr>
        <w:spacing w:after="60" w:before="0"/>
      </w:pPr>
      <w:r>
        <w:rPr>
          <w:rFonts w:ascii="Arial" w:hAnsi="Arial" w:eastAsia="Arial"/>
          <w:b w:val="0"/>
          <w:i w:val="0"/>
          <w:sz w:val="17"/>
        </w:rPr>
        <w:t>Dr. Shahriarirad is currently involved in approximately 40 active projects across the Department of Surgery, including around 25 projects in active phases such as patient recruitment, data collection, data analysis, and manuscript preparation, with additional projects pending IRB approval or resource allocation. His work involves collaboration across Mayo Clinic surgical innovation programs with Drs. Cornelius Thiels, Janani Reisenauer, Simon Laplante, Aparna Vijayasekaran, Kitty Wu, Arman Arghami, and John Nathan.</w:t>
      </w:r>
    </w:p>
    <w:p>
      <w:pPr>
        <w:spacing w:after="60" w:before="0"/>
      </w:pPr>
      <w:r>
        <w:rPr>
          <w:rFonts w:ascii="Arial" w:hAnsi="Arial" w:eastAsia="Arial"/>
          <w:b w:val="0"/>
          <w:i w:val="0"/>
          <w:sz w:val="17"/>
        </w:rPr>
        <w:t>His contributions vary by project and include study conceptualization and design, research question development, methodology planning, IRB preparation, data acquisition and curation, statistical analysis, manuscript drafting and editing, project coordination, operating-room device demonstrations, and patient recruitment.</w:t>
      </w:r>
    </w:p>
    <w:p>
      <w:pPr>
        <w:spacing w:after="60" w:before="0"/>
      </w:pPr>
      <w:r>
        <w:rPr>
          <w:rFonts w:ascii="Arial" w:hAnsi="Arial" w:eastAsia="Arial"/>
          <w:b w:val="0"/>
          <w:i w:val="0"/>
          <w:sz w:val="17"/>
        </w:rPr>
        <w:t>His collaborative technology and innovation work at Mayo Clinic spans surgical visualization, artificial intelligence, robotics, digital pathology, wearable monitoring, rehabilitation, and surgical education. These efforts include ApoQlar/Apple Vision Pro for real-time stereoscopic 3D robotic visualization; GoNoGoNET for AI-assisted surgical video analysis and safety-zone identification; ALARM/OmniWatch for wearable-based postoperative monitoring; JelloX for 3D digital pathology; INTERCEPTION and Alpenglow for robotic bronchoscopy, biopsy, and molecular sampling; CTA Perforator for computer vision-based reconstructive planning; ExerAI and Bioness for rehabilitation and gait assessment; bariatric surgery and ECG-based prediction models for precision surgical risk assessment; MOSI System for obesity staging and bariatric decision support; Lexo Drain for surgical device innovation; and robotic surgery curriculum development to improve resident training and educational quality.</w:t>
      </w:r>
    </w:p>
    <w:p>
      <w:pPr>
        <w:spacing w:before="180" w:after="60"/>
        <w:pBdr>
          <w:bottom w:val="single" w:sz="6" w:space="1" w:color="B8953A"/>
        </w:pBdr>
      </w:pPr>
      <w:r>
        <w:rPr>
          <w:rFonts w:ascii="Arial" w:hAnsi="Arial" w:eastAsia="Arial"/>
          <w:b/>
          <w:i w:val="0"/>
          <w:color w:val="1F3864"/>
          <w:sz w:val="21"/>
        </w:rPr>
        <w:t>AWARDS</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3456"/>
            <w:vAlign w:val="center"/>
            <w:shd w:fill="D9EAF7"/>
          </w:tcPr>
          <w:p>
            <w:pPr>
              <w:spacing w:after="0"/>
            </w:pPr>
            <w:r/>
            <w:r>
              <w:rPr>
                <w:rFonts w:ascii="Arial" w:hAnsi="Arial" w:eastAsia="Arial"/>
                <w:b/>
                <w:i w:val="0"/>
                <w:color w:val="1F3864"/>
                <w:sz w:val="17"/>
              </w:rPr>
              <w:t>Year</w:t>
            </w:r>
          </w:p>
        </w:tc>
        <w:tc>
          <w:tcPr>
            <w:tcW w:type="dxa" w:w="3456"/>
            <w:vAlign w:val="center"/>
            <w:shd w:fill="D9EAF7"/>
          </w:tcPr>
          <w:p>
            <w:pPr>
              <w:spacing w:after="0"/>
            </w:pPr>
            <w:r/>
            <w:r>
              <w:rPr>
                <w:rFonts w:ascii="Arial" w:hAnsi="Arial" w:eastAsia="Arial"/>
                <w:b/>
                <w:i w:val="0"/>
                <w:color w:val="1F3864"/>
                <w:sz w:val="17"/>
              </w:rPr>
              <w:t>Award</w:t>
            </w:r>
          </w:p>
        </w:tc>
        <w:tc>
          <w:tcPr>
            <w:tcW w:type="dxa" w:w="3456"/>
            <w:vAlign w:val="center"/>
            <w:shd w:fill="D9EAF7"/>
          </w:tcPr>
          <w:p>
            <w:pPr>
              <w:spacing w:after="0"/>
            </w:pPr>
            <w:r/>
            <w:r>
              <w:rPr>
                <w:rFonts w:ascii="Arial" w:hAnsi="Arial" w:eastAsia="Arial"/>
                <w:b/>
                <w:i w:val="0"/>
                <w:color w:val="1F3864"/>
                <w:sz w:val="17"/>
              </w:rPr>
              <w:t>Organization</w:t>
            </w:r>
          </w:p>
        </w:tc>
      </w:tr>
      <w:tr>
        <w:tc>
          <w:tcPr>
            <w:tcW w:type="dxa" w:w="3456"/>
            <w:vAlign w:val="center"/>
          </w:tcPr>
          <w:p>
            <w:pPr>
              <w:spacing w:after="0"/>
            </w:pPr>
            <w:r/>
            <w:r>
              <w:rPr>
                <w:rFonts w:ascii="Arial" w:hAnsi="Arial" w:eastAsia="Arial"/>
                <w:b w:val="0"/>
                <w:i w:val="0"/>
                <w:sz w:val="17"/>
              </w:rPr>
              <w:t>Dec 2023</w:t>
            </w:r>
          </w:p>
        </w:tc>
        <w:tc>
          <w:tcPr>
            <w:tcW w:type="dxa" w:w="3456"/>
            <w:vAlign w:val="center"/>
          </w:tcPr>
          <w:p>
            <w:pPr>
              <w:spacing w:after="0"/>
            </w:pPr>
            <w:r/>
            <w:r>
              <w:rPr>
                <w:rFonts w:ascii="Arial" w:hAnsi="Arial" w:eastAsia="Arial"/>
                <w:b w:val="0"/>
                <w:i w:val="0"/>
                <w:sz w:val="17"/>
              </w:rPr>
              <w:t>World's Top 2% Scientists</w:t>
            </w:r>
          </w:p>
        </w:tc>
        <w:tc>
          <w:tcPr>
            <w:tcW w:type="dxa" w:w="3456"/>
            <w:vAlign w:val="center"/>
          </w:tcPr>
          <w:p>
            <w:pPr>
              <w:spacing w:after="0"/>
            </w:pPr>
            <w:r/>
            <w:r>
              <w:rPr>
                <w:rFonts w:ascii="Arial" w:hAnsi="Arial" w:eastAsia="Arial"/>
                <w:b w:val="0"/>
                <w:i w:val="0"/>
                <w:sz w:val="17"/>
              </w:rPr>
              <w:t>Elsevier Data Repository / Stanford</w:t>
            </w:r>
          </w:p>
        </w:tc>
      </w:tr>
      <w:tr>
        <w:tc>
          <w:tcPr>
            <w:tcW w:type="dxa" w:w="3456"/>
            <w:vAlign w:val="center"/>
          </w:tcPr>
          <w:p>
            <w:pPr>
              <w:spacing w:after="0"/>
            </w:pPr>
            <w:r/>
            <w:r>
              <w:rPr>
                <w:rFonts w:ascii="Arial" w:hAnsi="Arial" w:eastAsia="Arial"/>
                <w:b w:val="0"/>
                <w:i w:val="0"/>
                <w:sz w:val="17"/>
              </w:rPr>
              <w:t>Oct 2020</w:t>
            </w:r>
          </w:p>
        </w:tc>
        <w:tc>
          <w:tcPr>
            <w:tcW w:type="dxa" w:w="3456"/>
            <w:vAlign w:val="center"/>
          </w:tcPr>
          <w:p>
            <w:pPr>
              <w:spacing w:after="0"/>
            </w:pPr>
            <w:r/>
            <w:r>
              <w:rPr>
                <w:rFonts w:ascii="Arial" w:hAnsi="Arial" w:eastAsia="Arial"/>
                <w:b w:val="0"/>
                <w:i w:val="0"/>
                <w:sz w:val="17"/>
              </w:rPr>
              <w:t>National Outstanding Student Researcher</w:t>
            </w:r>
          </w:p>
        </w:tc>
        <w:tc>
          <w:tcPr>
            <w:tcW w:type="dxa" w:w="3456"/>
            <w:vAlign w:val="center"/>
          </w:tcPr>
          <w:p>
            <w:pPr>
              <w:spacing w:after="0"/>
            </w:pPr>
            <w:r/>
            <w:r>
              <w:rPr>
                <w:rFonts w:ascii="Arial" w:hAnsi="Arial" w:eastAsia="Arial"/>
                <w:b w:val="0"/>
                <w:i w:val="0"/>
                <w:sz w:val="17"/>
              </w:rPr>
              <w:t>Iran Ministry of Health and Medical Education</w:t>
            </w:r>
          </w:p>
        </w:tc>
      </w:tr>
    </w:tbl>
    <w:p>
      <w:pPr>
        <w:spacing w:after="40" w:before="0"/>
      </w:pPr>
    </w:p>
    <w:p>
      <w:pPr>
        <w:spacing w:before="180" w:after="60"/>
        <w:pBdr>
          <w:bottom w:val="single" w:sz="6" w:space="1" w:color="B8953A"/>
        </w:pBdr>
      </w:pPr>
      <w:r>
        <w:rPr>
          <w:rFonts w:ascii="Arial" w:hAnsi="Arial" w:eastAsia="Arial"/>
          <w:b/>
          <w:i w:val="0"/>
          <w:color w:val="1F3864"/>
          <w:sz w:val="21"/>
        </w:rPr>
        <w:t>LEADERSHIP &amp; COMMUNITY SERVICE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w:t>
            </w:r>
          </w:p>
        </w:tc>
        <w:tc>
          <w:tcPr>
            <w:tcW w:type="dxa" w:w="2592"/>
            <w:vAlign w:val="center"/>
            <w:shd w:fill="D9EAF7"/>
          </w:tcPr>
          <w:p>
            <w:pPr>
              <w:spacing w:after="0"/>
            </w:pPr>
            <w:r/>
            <w:r>
              <w:rPr>
                <w:rFonts w:ascii="Arial" w:hAnsi="Arial" w:eastAsia="Arial"/>
                <w:b/>
                <w:i w:val="0"/>
                <w:color w:val="1F3864"/>
                <w:sz w:val="17"/>
              </w:rPr>
              <w:t>Organization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Fellow Association Quality Improvement Committee</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Contributes to quality improvement initiatives supporting research fellows and trainee experience at Mayo Clinic.</w:t>
            </w:r>
          </w:p>
        </w:tc>
      </w:tr>
      <w:tr>
        <w:tc>
          <w:tcPr>
            <w:tcW w:type="dxa" w:w="2592"/>
            <w:vAlign w:val="center"/>
          </w:tcPr>
          <w:p>
            <w:pPr>
              <w:spacing w:after="0"/>
            </w:pPr>
            <w:r/>
            <w:r>
              <w:rPr>
                <w:rFonts w:ascii="Arial" w:hAnsi="Arial" w:eastAsia="Arial"/>
                <w:b w:val="0"/>
                <w:i w:val="0"/>
                <w:sz w:val="17"/>
              </w:rPr>
              <w:t>May 2026</w:t>
            </w:r>
          </w:p>
        </w:tc>
        <w:tc>
          <w:tcPr>
            <w:tcW w:type="dxa" w:w="2592"/>
            <w:vAlign w:val="center"/>
          </w:tcPr>
          <w:p>
            <w:pPr>
              <w:spacing w:after="0"/>
            </w:pPr>
            <w:r/>
            <w:r>
              <w:rPr>
                <w:rFonts w:ascii="Arial" w:hAnsi="Arial" w:eastAsia="Arial"/>
                <w:b w:val="0"/>
                <w:i w:val="0"/>
                <w:sz w:val="17"/>
              </w:rPr>
              <w:t>Trauma Center Injury Prevention – Bike Rodeo / Bike Safety Program</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Participated in a community injury-prevention and bike-safety program focused on education and safety awareness.</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MRFA Mentor-Mentee Program</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Supports mentorship and professional development for research fellows through the MRFA mentor-mentee program.</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Oraculi STEM Mentor – John Adams Middle School Science Fair</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Mentors students through STEM and science-fair activities, supporting early exposure to scientific thinking and research methods.</w:t>
            </w:r>
          </w:p>
        </w:tc>
      </w:tr>
      <w:tr>
        <w:tc>
          <w:tcPr>
            <w:tcW w:type="dxa" w:w="2592"/>
            <w:vAlign w:val="center"/>
          </w:tcPr>
          <w:p>
            <w:pPr>
              <w:spacing w:after="0"/>
            </w:pPr>
            <w:r/>
            <w:r>
              <w:rPr>
                <w:rFonts w:ascii="Arial" w:hAnsi="Arial" w:eastAsia="Arial"/>
                <w:b w:val="0"/>
                <w:i w:val="0"/>
                <w:sz w:val="17"/>
              </w:rPr>
              <w:t>2020 – Present</w:t>
            </w:r>
          </w:p>
        </w:tc>
        <w:tc>
          <w:tcPr>
            <w:tcW w:type="dxa" w:w="2592"/>
            <w:vAlign w:val="center"/>
          </w:tcPr>
          <w:p>
            <w:pPr>
              <w:spacing w:after="0"/>
            </w:pPr>
            <w:r/>
            <w:r>
              <w:rPr>
                <w:rFonts w:ascii="Arial" w:hAnsi="Arial" w:eastAsia="Arial"/>
                <w:b w:val="0"/>
                <w:i w:val="0"/>
                <w:sz w:val="17"/>
              </w:rPr>
              <w:t>Research Project Manager and Mentoring Program</w:t>
            </w:r>
          </w:p>
        </w:tc>
        <w:tc>
          <w:tcPr>
            <w:tcW w:type="dxa" w:w="2592"/>
            <w:vAlign w:val="center"/>
          </w:tcPr>
          <w:p>
            <w:pPr>
              <w:spacing w:after="0"/>
            </w:pPr>
            <w:r/>
            <w:r>
              <w:rPr>
                <w:rFonts w:ascii="Arial" w:hAnsi="Arial" w:eastAsia="Arial"/>
                <w:b w:val="0"/>
                <w:i w:val="0"/>
                <w:sz w:val="17"/>
              </w:rPr>
              <w:t>Thoracic and Vascular Surgery Research Center, Shiraz University of Medical Sciences, Shiraz, Iran</w:t>
            </w:r>
          </w:p>
        </w:tc>
        <w:tc>
          <w:tcPr>
            <w:tcW w:type="dxa" w:w="2592"/>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before="0"/>
      </w:pPr>
    </w:p>
    <w:p>
      <w:pPr>
        <w:spacing w:before="180" w:after="60"/>
        <w:pBdr>
          <w:bottom w:val="single" w:sz="6" w:space="1" w:color="B8953A"/>
        </w:pBdr>
      </w:pPr>
      <w:r>
        <w:rPr>
          <w:rFonts w:ascii="Arial" w:hAnsi="Arial" w:eastAsia="Arial"/>
          <w:b/>
          <w:i w:val="0"/>
          <w:color w:val="1F3864"/>
          <w:sz w:val="21"/>
        </w:rPr>
        <w:t>SKILLS</w:t>
      </w:r>
    </w:p>
    <w:tbl>
      <w:tblPr>
        <w:tblStyle w:val="TableGrid"/>
        <w:tblW w:type="auto" w:w="0"/>
        <w:jc w:val="left"/>
        <w:tblLayout w:type="autofit"/>
        <w:tblLook w:firstColumn="1" w:firstRow="1" w:lastColumn="0" w:lastRow="0" w:noHBand="0" w:noVBand="1" w:val="04A0"/>
      </w:tblPr>
      <w:tblGrid>
        <w:gridCol w:w="5184"/>
        <w:gridCol w:w="5184"/>
      </w:tblGrid>
      <w:tr>
        <w:tc>
          <w:tcPr>
            <w:tcW w:type="dxa" w:w="2448"/>
            <w:vAlign w:val="center"/>
          </w:tcPr>
          <w:p>
            <w:pPr>
              <w:spacing w:after="0"/>
            </w:pPr>
            <w:r/>
            <w:r>
              <w:rPr>
                <w:rFonts w:ascii="Arial" w:hAnsi="Arial" w:eastAsia="Arial"/>
                <w:b w:val="0"/>
                <w:i w:val="0"/>
                <w:sz w:val="17"/>
              </w:rPr>
              <w:t>Technical &amp; Software</w:t>
            </w:r>
          </w:p>
        </w:tc>
        <w:tc>
          <w:tcPr>
            <w:tcW w:type="dxa" w:w="7056"/>
            <w:vAlign w:val="center"/>
          </w:tcPr>
          <w:p>
            <w:pPr>
              <w:spacing w:after="0"/>
            </w:pPr>
            <w:r/>
            <w:r>
              <w:rPr>
                <w:rFonts w:ascii="Arial" w:hAnsi="Arial" w:eastAsia="Arial"/>
                <w:b w:val="0"/>
                <w:i w:val="0"/>
                <w:sz w:val="17"/>
              </w:rPr>
              <w:t>SPSS (Good); EndNote (Good); Microsoft Office (Good); Corel Video Studio (Good); Python (Beginner); MATLAB (Beginner); NCSS (Beginner); Azure DevOps (Beginner); Typing (90 wpm)</w:t>
            </w:r>
          </w:p>
        </w:tc>
      </w:tr>
      <w:tr>
        <w:tc>
          <w:tcPr>
            <w:tcW w:type="dxa" w:w="2448"/>
            <w:vAlign w:val="center"/>
          </w:tcPr>
          <w:p>
            <w:pPr>
              <w:spacing w:after="0"/>
            </w:pPr>
            <w:r/>
            <w:r>
              <w:rPr>
                <w:rFonts w:ascii="Arial" w:hAnsi="Arial" w:eastAsia="Arial"/>
                <w:b w:val="0"/>
                <w:i w:val="0"/>
                <w:sz w:val="17"/>
              </w:rPr>
              <w:t>Research &amp; Analytical</w:t>
            </w:r>
          </w:p>
        </w:tc>
        <w:tc>
          <w:tcPr>
            <w:tcW w:type="dxa" w:w="7056"/>
            <w:vAlign w:val="center"/>
          </w:tcPr>
          <w:p>
            <w:pPr>
              <w:spacing w:after="0"/>
            </w:pPr>
            <w:r/>
            <w:r>
              <w:rPr>
                <w:rFonts w:ascii="Arial" w:hAnsi="Arial" w:eastAsia="Arial"/>
                <w:b w:val="0"/>
                <w:i w:val="0"/>
                <w:sz w:val="17"/>
              </w:rPr>
              <w:t>Study design; RCT coordination; Data management; Statistical analysis; Systematic review and meta-analysis; Clinical research coordination; IRB preparation</w:t>
            </w:r>
          </w:p>
        </w:tc>
      </w:tr>
      <w:tr>
        <w:tc>
          <w:tcPr>
            <w:tcW w:type="dxa" w:w="2448"/>
            <w:vAlign w:val="center"/>
          </w:tcPr>
          <w:p>
            <w:pPr>
              <w:spacing w:after="0"/>
            </w:pPr>
            <w:r/>
            <w:r>
              <w:rPr>
                <w:rFonts w:ascii="Arial" w:hAnsi="Arial" w:eastAsia="Arial"/>
                <w:b w:val="0"/>
                <w:i w:val="0"/>
                <w:sz w:val="17"/>
              </w:rPr>
              <w:t>Interpersonal</w:t>
            </w:r>
          </w:p>
        </w:tc>
        <w:tc>
          <w:tcPr>
            <w:tcW w:type="dxa" w:w="7056"/>
            <w:vAlign w:val="center"/>
          </w:tcPr>
          <w:p>
            <w:pPr>
              <w:spacing w:after="0"/>
            </w:pPr>
            <w:r/>
            <w:r>
              <w:rPr>
                <w:rFonts w:ascii="Arial" w:hAnsi="Arial" w:eastAsia="Arial"/>
                <w:b w:val="0"/>
                <w:i w:val="0"/>
                <w:sz w:val="17"/>
              </w:rPr>
              <w:t>Scientific editing; Presentation skills; Mentoring; Time management; Multidisciplinary collaboration; English and Farsi fluency</w:t>
            </w:r>
          </w:p>
        </w:tc>
      </w:tr>
    </w:tbl>
    <w:p>
      <w:pPr>
        <w:spacing w:after="40" w:before="0"/>
      </w:pPr>
    </w:p>
    <w:p>
      <w:pPr>
        <w:spacing w:before="180" w:after="60"/>
        <w:pBdr>
          <w:bottom w:val="single" w:sz="6" w:space="1" w:color="B8953A"/>
        </w:pBdr>
      </w:pPr>
      <w:r>
        <w:rPr>
          <w:rFonts w:ascii="Arial" w:hAnsi="Arial" w:eastAsia="Arial"/>
          <w:b/>
          <w:i w:val="0"/>
          <w:color w:val="1F3864"/>
          <w:sz w:val="21"/>
        </w:rPr>
        <w:t>PATENTS AND INNOVATIONS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Date</w:t>
            </w:r>
          </w:p>
        </w:tc>
        <w:tc>
          <w:tcPr>
            <w:tcW w:type="dxa" w:w="2592"/>
            <w:vAlign w:val="center"/>
            <w:shd w:fill="D9EAF7"/>
          </w:tcPr>
          <w:p>
            <w:pPr>
              <w:spacing w:after="0"/>
            </w:pPr>
            <w:r/>
            <w:r>
              <w:rPr>
                <w:rFonts w:ascii="Arial" w:hAnsi="Arial" w:eastAsia="Arial"/>
                <w:b/>
                <w:i w:val="0"/>
                <w:color w:val="1F3864"/>
                <w:sz w:val="17"/>
              </w:rPr>
              <w:t>Title</w:t>
            </w:r>
          </w:p>
        </w:tc>
        <w:tc>
          <w:tcPr>
            <w:tcW w:type="dxa" w:w="2592"/>
            <w:vAlign w:val="center"/>
            <w:shd w:fill="D9EAF7"/>
          </w:tcPr>
          <w:p>
            <w:pPr>
              <w:spacing w:after="0"/>
            </w:pPr>
            <w:r/>
            <w:r>
              <w:rPr>
                <w:rFonts w:ascii="Arial" w:hAnsi="Arial" w:eastAsia="Arial"/>
                <w:b/>
                <w:i w:val="0"/>
                <w:color w:val="1F3864"/>
                <w:sz w:val="17"/>
              </w:rPr>
              <w:t>Issuer</w:t>
            </w:r>
          </w:p>
        </w:tc>
        <w:tc>
          <w:tcPr>
            <w:tcW w:type="dxa" w:w="2592"/>
            <w:vAlign w:val="center"/>
            <w:shd w:fill="D9EAF7"/>
          </w:tcPr>
          <w:p>
            <w:pPr>
              <w:spacing w:after="0"/>
            </w:pPr>
            <w:r/>
            <w:r>
              <w:rPr>
                <w:rFonts w:ascii="Arial" w:hAnsi="Arial" w:eastAsia="Arial"/>
                <w:b/>
                <w:i w:val="0"/>
                <w:color w:val="1F3864"/>
                <w:sz w:val="17"/>
              </w:rPr>
              <w:t>Number</w:t>
            </w:r>
          </w:p>
        </w:tc>
      </w:tr>
      <w:tr>
        <w:tc>
          <w:tcPr>
            <w:tcW w:type="dxa" w:w="2592"/>
            <w:vAlign w:val="center"/>
          </w:tcPr>
          <w:p>
            <w:pPr>
              <w:spacing w:after="0"/>
            </w:pPr>
            <w:r/>
            <w:r>
              <w:rPr>
                <w:rFonts w:ascii="Arial" w:hAnsi="Arial" w:eastAsia="Arial"/>
                <w:b w:val="0"/>
                <w:i w:val="0"/>
                <w:sz w:val="17"/>
              </w:rPr>
              <w:t>Apr 2021</w:t>
            </w:r>
          </w:p>
        </w:tc>
        <w:tc>
          <w:tcPr>
            <w:tcW w:type="dxa" w:w="2592"/>
            <w:vAlign w:val="center"/>
          </w:tcPr>
          <w:p>
            <w:pPr>
              <w:spacing w:after="0"/>
            </w:pPr>
            <w:r/>
            <w:r>
              <w:rPr>
                <w:rFonts w:ascii="Arial" w:hAnsi="Arial" w:eastAsia="Arial"/>
                <w:b w:val="0"/>
                <w:i w:val="0"/>
                <w:sz w:val="17"/>
              </w:rPr>
              <w:t>A Machine Learning-Based System for Detecting Leishmaniasis in Microscopic Images</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140050140003000416</w:t>
            </w:r>
          </w:p>
        </w:tc>
      </w:tr>
      <w:tr>
        <w:tc>
          <w:tcPr>
            <w:tcW w:type="dxa" w:w="2592"/>
            <w:vAlign w:val="center"/>
          </w:tcPr>
          <w:p>
            <w:pPr>
              <w:spacing w:after="0"/>
            </w:pPr>
            <w:r/>
            <w:r>
              <w:rPr>
                <w:rFonts w:ascii="Arial" w:hAnsi="Arial" w:eastAsia="Arial"/>
                <w:b w:val="0"/>
                <w:i w:val="0"/>
                <w:sz w:val="17"/>
              </w:rPr>
              <w:t>Oct 2020</w:t>
            </w:r>
          </w:p>
        </w:tc>
        <w:tc>
          <w:tcPr>
            <w:tcW w:type="dxa" w:w="2592"/>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139950140003006653</w:t>
            </w:r>
          </w:p>
        </w:tc>
      </w:tr>
    </w:tbl>
    <w:p>
      <w:pPr>
        <w:spacing w:after="40" w:before="0"/>
      </w:pPr>
    </w:p>
    <w:p>
      <w:pPr>
        <w:spacing w:before="180" w:after="60"/>
        <w:pBdr>
          <w:bottom w:val="single" w:sz="6" w:space="1" w:color="B8953A"/>
        </w:pBdr>
      </w:pPr>
      <w:r>
        <w:rPr>
          <w:rFonts w:ascii="Arial" w:hAnsi="Arial" w:eastAsia="Arial"/>
          <w:b/>
          <w:i w:val="0"/>
          <w:color w:val="1F3864"/>
          <w:sz w:val="21"/>
        </w:rPr>
        <w:t>EDITOR &amp; REVIEWER EXPERIENCE</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before="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B8953A"/>
        </w:pBdr>
      </w:pPr>
      <w:r>
        <w:rPr>
          <w:rFonts w:ascii="Arial" w:hAnsi="Arial" w:eastAsia="Arial"/>
          <w:b/>
          <w:i w:val="0"/>
          <w:color w:val="1F3864"/>
          <w:sz w:val="21"/>
        </w:rPr>
        <w:t>PRESENTATIONS SUMMARY</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21</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19</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2</w:t>
            </w:r>
          </w:p>
        </w:tc>
      </w:tr>
    </w:tbl>
    <w:p>
      <w:pPr>
        <w:spacing w:after="40" w:before="0"/>
      </w:pPr>
    </w:p>
    <w:p>
      <w:pPr>
        <w:spacing w:before="180" w:after="60"/>
        <w:pBdr>
          <w:bottom w:val="single" w:sz="6" w:space="1" w:color="B8953A"/>
        </w:pBdr>
      </w:pPr>
      <w:r>
        <w:rPr>
          <w:rFonts w:ascii="Arial" w:hAnsi="Arial" w:eastAsia="Arial"/>
          <w:b/>
          <w:i w:val="0"/>
          <w:color w:val="1F3864"/>
          <w:sz w:val="21"/>
        </w:rPr>
        <w:t>LANGUAGES, EXTRACURRICULAR ACTIVITIES AND HOBBIES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Hobbies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before="0"/>
      </w:pPr>
    </w:p>
    <w:p>
      <w:pPr>
        <w:spacing w:before="180" w:after="60"/>
        <w:pBdr>
          <w:bottom w:val="single" w:sz="6" w:space="1" w:color="B8953A"/>
        </w:pBdr>
      </w:pPr>
      <w:r>
        <w:rPr>
          <w:rFonts w:ascii="Arial" w:hAnsi="Arial" w:eastAsia="Arial"/>
          <w:b/>
          <w:i w:val="0"/>
          <w:color w:val="1F3864"/>
          <w:sz w:val="21"/>
        </w:rPr>
        <w:t>REFERENCES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232"/>
            <w:vAlign w:val="center"/>
            <w:shd w:fill="D9EAF7"/>
          </w:tcPr>
          <w:p>
            <w:pPr>
              <w:spacing w:after="0"/>
            </w:pPr>
            <w:r/>
            <w:r>
              <w:rPr>
                <w:rFonts w:ascii="Arial" w:hAnsi="Arial" w:eastAsia="Arial"/>
                <w:b/>
                <w:i w:val="0"/>
                <w:color w:val="1F3864"/>
                <w:sz w:val="17"/>
              </w:rPr>
              <w:t>Name</w:t>
            </w:r>
          </w:p>
        </w:tc>
        <w:tc>
          <w:tcPr>
            <w:tcW w:type="dxa" w:w="2880"/>
            <w:vAlign w:val="center"/>
            <w:shd w:fill="D9EAF7"/>
          </w:tcPr>
          <w:p>
            <w:pPr>
              <w:spacing w:after="0"/>
            </w:pPr>
            <w:r/>
            <w:r>
              <w:rPr>
                <w:rFonts w:ascii="Arial" w:hAnsi="Arial" w:eastAsia="Arial"/>
                <w:b/>
                <w:i w:val="0"/>
                <w:color w:val="1F3864"/>
                <w:sz w:val="17"/>
              </w:rPr>
              <w:t>Role</w:t>
            </w:r>
          </w:p>
        </w:tc>
        <w:tc>
          <w:tcPr>
            <w:tcW w:type="dxa" w:w="3096"/>
            <w:vAlign w:val="center"/>
            <w:shd w:fill="D9EAF7"/>
          </w:tcPr>
          <w:p>
            <w:pPr>
              <w:spacing w:after="0"/>
            </w:pPr>
            <w:r/>
            <w:r>
              <w:rPr>
                <w:rFonts w:ascii="Arial" w:hAnsi="Arial" w:eastAsia="Arial"/>
                <w:b/>
                <w:i w:val="0"/>
                <w:color w:val="1F3864"/>
                <w:sz w:val="17"/>
              </w:rPr>
              <w:t>Institution</w:t>
            </w:r>
          </w:p>
        </w:tc>
        <w:tc>
          <w:tcPr>
            <w:tcW w:type="dxa" w:w="1800"/>
            <w:vAlign w:val="center"/>
            <w:shd w:fill="D9EAF7"/>
          </w:tcPr>
          <w:p>
            <w:pPr>
              <w:spacing w:after="0"/>
            </w:pPr>
            <w:r/>
            <w:r>
              <w:rPr>
                <w:rFonts w:ascii="Arial" w:hAnsi="Arial" w:eastAsia="Arial"/>
                <w:b/>
                <w:i w:val="0"/>
                <w:color w:val="1F3864"/>
                <w:sz w:val="17"/>
              </w:rPr>
              <w:t>Public links</w:t>
            </w:r>
          </w:p>
        </w:tc>
      </w:tr>
      <w:tr>
        <w:tc>
          <w:tcPr>
            <w:tcW w:type="dxa" w:w="2232"/>
            <w:vAlign w:val="center"/>
          </w:tcPr>
          <w:p>
            <w:pPr>
              <w:spacing w:after="0"/>
            </w:pPr>
            <w:r/>
            <w:r>
              <w:rPr>
                <w:rFonts w:ascii="Arial" w:hAnsi="Arial" w:eastAsia="Arial"/>
                <w:b w:val="0"/>
                <w:i w:val="0"/>
                <w:sz w:val="17"/>
              </w:rPr>
              <w:t>Dr. Simon J. Laplante, MD</w:t>
            </w:r>
          </w:p>
        </w:tc>
        <w:tc>
          <w:tcPr>
            <w:tcW w:type="dxa" w:w="2880"/>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https://www.mayoclinic.org/biographies/laplante-simon-j-m-d/bio-20573005; MStar Lab: https://www.mstarlab.com/team</w:t>
            </w:r>
          </w:p>
        </w:tc>
      </w:tr>
      <w:tr>
        <w:tc>
          <w:tcPr>
            <w:tcW w:type="dxa" w:w="2232"/>
            <w:vAlign w:val="center"/>
          </w:tcPr>
          <w:p>
            <w:pPr>
              <w:spacing w:after="0"/>
            </w:pPr>
            <w:r/>
            <w:r>
              <w:rPr>
                <w:rFonts w:ascii="Arial" w:hAnsi="Arial" w:eastAsia="Arial"/>
                <w:b w:val="0"/>
                <w:i w:val="0"/>
                <w:sz w:val="17"/>
              </w:rPr>
              <w:t>Dr. Kitty Y. Wu, MD, MSc, FRCSC</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https://www.mayoclinic.org/biographies/wu-kitty-y-m-d/bio-20552093</w:t>
            </w:r>
          </w:p>
        </w:tc>
      </w:tr>
      <w:tr>
        <w:tc>
          <w:tcPr>
            <w:tcW w:type="dxa" w:w="2232"/>
            <w:vAlign w:val="center"/>
          </w:tcPr>
          <w:p>
            <w:pPr>
              <w:spacing w:after="0"/>
            </w:pPr>
            <w:r/>
            <w:r>
              <w:rPr>
                <w:rFonts w:ascii="Arial" w:hAnsi="Arial" w:eastAsia="Arial"/>
                <w:b w:val="0"/>
                <w:i w:val="0"/>
                <w:sz w:val="17"/>
              </w:rPr>
              <w:t>Dr. Aparna Vijayasekaran, MBBS</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https://www.mayoclinic.org/biographies/vijayasekaran-aparna-m-b-b-s/bio-20453484</w:t>
            </w:r>
          </w:p>
        </w:tc>
      </w:tr>
      <w:tr>
        <w:tc>
          <w:tcPr>
            <w:tcW w:type="dxa" w:w="2232"/>
            <w:vAlign w:val="center"/>
          </w:tcPr>
          <w:p>
            <w:pPr>
              <w:spacing w:after="0"/>
            </w:pPr>
            <w:r/>
            <w:r>
              <w:rPr>
                <w:rFonts w:ascii="Arial" w:hAnsi="Arial" w:eastAsia="Arial"/>
                <w:b w:val="0"/>
                <w:i w:val="0"/>
                <w:sz w:val="17"/>
              </w:rPr>
              <w:t>Dr. Janani S. Reisenauer, MD</w:t>
            </w:r>
          </w:p>
        </w:tc>
        <w:tc>
          <w:tcPr>
            <w:tcW w:type="dxa" w:w="2880"/>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https://www.mayoclinic.org/biographies/reisenauer-janani-s-m-d/bio-20433096</w:t>
            </w:r>
          </w:p>
        </w:tc>
      </w:tr>
      <w:tr>
        <w:tc>
          <w:tcPr>
            <w:tcW w:type="dxa" w:w="2232"/>
            <w:vAlign w:val="center"/>
          </w:tcPr>
          <w:p>
            <w:pPr>
              <w:spacing w:after="0"/>
            </w:pPr>
            <w:r/>
            <w:r>
              <w:rPr>
                <w:rFonts w:ascii="Arial" w:hAnsi="Arial" w:eastAsia="Arial"/>
                <w:b w:val="0"/>
                <w:i w:val="0"/>
                <w:sz w:val="17"/>
              </w:rPr>
              <w:t>Dr. Cornelius A. Thiels, DO, MBA, FACS</w:t>
            </w:r>
          </w:p>
        </w:tc>
        <w:tc>
          <w:tcPr>
            <w:tcW w:type="dxa" w:w="2880"/>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https://www.mayoclinic.org/biographies/thiels-cornelius-a-d-o-m-b-a/bio-20519744</w:t>
            </w:r>
          </w:p>
        </w:tc>
      </w:tr>
      <w:tr>
        <w:tc>
          <w:tcPr>
            <w:tcW w:type="dxa" w:w="2232"/>
            <w:vAlign w:val="center"/>
          </w:tcPr>
          <w:p>
            <w:pPr>
              <w:spacing w:after="0"/>
            </w:pPr>
            <w:r/>
            <w:r>
              <w:rPr>
                <w:rFonts w:ascii="Arial" w:hAnsi="Arial" w:eastAsia="Arial"/>
                <w:b w:val="0"/>
                <w:i w:val="0"/>
                <w:sz w:val="17"/>
              </w:rPr>
              <w:t>Dr. Soheil Ashkani-Esfahani, MD, MPH</w:t>
            </w:r>
          </w:p>
        </w:tc>
        <w:tc>
          <w:tcPr>
            <w:tcW w:type="dxa" w:w="2880"/>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3096"/>
            <w:vAlign w:val="center"/>
          </w:tcPr>
          <w:p>
            <w:pPr>
              <w:spacing w:after="0"/>
            </w:pPr>
            <w:r/>
            <w:r>
              <w:rPr>
                <w:rFonts w:ascii="Arial" w:hAnsi="Arial" w:eastAsia="Arial"/>
                <w:b w:val="0"/>
                <w:i w:val="0"/>
                <w:sz w:val="17"/>
              </w:rPr>
              <w:t>Dept. of Orthopaedic Surgery, Massachusetts General Hospital, Boston, MA</w:t>
            </w:r>
          </w:p>
        </w:tc>
        <w:tc>
          <w:tcPr>
            <w:tcW w:type="dxa" w:w="1800"/>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232"/>
            <w:vAlign w:val="center"/>
          </w:tcPr>
          <w:p>
            <w:pPr>
              <w:spacing w:after="0"/>
            </w:pPr>
            <w:r/>
            <w:r>
              <w:rPr>
                <w:rFonts w:ascii="Arial" w:hAnsi="Arial" w:eastAsia="Arial"/>
                <w:b w:val="0"/>
                <w:i w:val="0"/>
                <w:sz w:val="17"/>
              </w:rPr>
              <w:t>Dr. Mohammad Javad Fallahi, MD</w:t>
            </w:r>
          </w:p>
        </w:tc>
        <w:tc>
          <w:tcPr>
            <w:tcW w:type="dxa" w:w="2880"/>
            <w:vAlign w:val="center"/>
          </w:tcPr>
          <w:p>
            <w:pPr>
              <w:spacing w:after="0"/>
            </w:pPr>
            <w:r/>
            <w:r>
              <w:rPr>
                <w:rFonts w:ascii="Arial" w:hAnsi="Arial" w:eastAsia="Arial"/>
                <w:b w:val="0"/>
                <w:i w:val="0"/>
                <w:sz w:val="17"/>
              </w:rPr>
              <w:t>Associate Professor; Chair, Division of Internal Medicine; Pulmonology Division</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232"/>
            <w:vAlign w:val="center"/>
          </w:tcPr>
          <w:p>
            <w:pPr>
              <w:spacing w:after="0"/>
            </w:pPr>
            <w:r/>
            <w:r>
              <w:rPr>
                <w:rFonts w:ascii="Arial" w:hAnsi="Arial" w:eastAsia="Arial"/>
                <w:b w:val="0"/>
                <w:i w:val="0"/>
                <w:sz w:val="17"/>
              </w:rPr>
              <w:t>Dr. Bizhan Ziaian, MD</w:t>
            </w:r>
          </w:p>
        </w:tc>
        <w:tc>
          <w:tcPr>
            <w:tcW w:type="dxa" w:w="2880"/>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3096"/>
            <w:vAlign w:val="center"/>
          </w:tcPr>
          <w:p>
            <w:pPr>
              <w:spacing w:after="0"/>
            </w:pPr>
            <w:r/>
            <w:r>
              <w:rPr>
                <w:rFonts w:ascii="Arial" w:hAnsi="Arial" w:eastAsia="Arial"/>
                <w:b w:val="0"/>
                <w:i w:val="0"/>
                <w:sz w:val="17"/>
              </w:rPr>
              <w:t>Shiraz University of Medical Sciences, Shiraz, Iran</w:t>
            </w:r>
          </w:p>
        </w:tc>
        <w:tc>
          <w:tcPr>
            <w:tcW w:type="dxa" w:w="1800"/>
            <w:vAlign w:val="center"/>
          </w:tcPr>
          <w:p>
            <w:pPr>
              <w:spacing w:after="0"/>
            </w:pPr>
            <w:r/>
            <w:r>
              <w:rPr>
                <w:rFonts w:ascii="Arial" w:hAnsi="Arial" w:eastAsia="Arial"/>
                <w:b w:val="0"/>
                <w:i w:val="0"/>
                <w:sz w:val="17"/>
              </w:rPr>
              <w:t>LinkedIn: https://www.linkedin.com/in/bizhan-ziaian-57b87479/</w:t>
            </w:r>
          </w:p>
        </w:tc>
      </w:tr>
      <w:tr>
        <w:tc>
          <w:tcPr>
            <w:tcW w:type="dxa" w:w="2232"/>
            <w:vAlign w:val="center"/>
          </w:tcPr>
          <w:p>
            <w:pPr>
              <w:spacing w:after="0"/>
            </w:pPr>
            <w:r/>
            <w:r>
              <w:rPr>
                <w:rFonts w:ascii="Arial" w:hAnsi="Arial" w:eastAsia="Arial"/>
                <w:b w:val="0"/>
                <w:i w:val="0"/>
                <w:sz w:val="17"/>
              </w:rPr>
              <w:t>Dr. Alireza Rezvani, MD</w:t>
            </w:r>
          </w:p>
        </w:tc>
        <w:tc>
          <w:tcPr>
            <w:tcW w:type="dxa" w:w="2880"/>
            <w:vAlign w:val="center"/>
          </w:tcPr>
          <w:p>
            <w:pPr>
              <w:spacing w:after="0"/>
            </w:pPr>
            <w:r/>
            <w:r>
              <w:rPr>
                <w:rFonts w:ascii="Arial" w:hAnsi="Arial" w:eastAsia="Arial"/>
                <w:b w:val="0"/>
                <w:i w:val="0"/>
                <w:sz w:val="17"/>
              </w:rPr>
              <w:t>Assistant Professor of Hematology and Oncology; Vice Chancellor for Research</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https://www.linkedin.com/in/alireza-rezvani-56696688/</w:t>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B: JOURNALS REVIEWED</w:t>
      </w:r>
    </w:p>
    <w:tbl>
      <w:tblPr>
        <w:tblStyle w:val="TableGrid"/>
        <w:tblW w:type="auto" w:w="0"/>
        <w:jc w:val="left"/>
        <w:tblLayout w:type="autofit"/>
        <w:tblLook w:firstColumn="1" w:firstRow="1" w:lastColumn="0" w:lastRow="0" w:noHBand="0" w:noVBand="1" w:val="04A0"/>
      </w:tblPr>
      <w:tblGrid>
        <w:gridCol w:w="5184"/>
        <w:gridCol w:w="5184"/>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C: PRESENTATIONS</w:t>
      </w:r>
    </w:p>
    <w:tbl>
      <w:tblPr>
        <w:tblStyle w:val="TableGrid"/>
        <w:tblW w:type="auto" w:w="0"/>
        <w:jc w:val="left"/>
        <w:tblLayout w:type="autofit"/>
        <w:tblLook w:firstColumn="1" w:firstRow="1" w:lastColumn="0" w:lastRow="0" w:noHBand="0" w:noVBand="1" w:val="04A0"/>
      </w:tblPr>
      <w:tblGrid>
        <w:gridCol w:w="2074"/>
        <w:gridCol w:w="2074"/>
        <w:gridCol w:w="2074"/>
        <w:gridCol w:w="2074"/>
        <w:gridCol w:w="2074"/>
      </w:tblGrid>
      <w:tr>
        <w:tc>
          <w:tcPr>
            <w:tcW w:type="dxa" w:w="504"/>
            <w:vAlign w:val="center"/>
            <w:shd w:fill="D9EAF7"/>
          </w:tcPr>
          <w:p>
            <w:pPr>
              <w:spacing w:after="0"/>
            </w:pPr>
            <w:r/>
            <w:r>
              <w:rPr>
                <w:rFonts w:ascii="Arial" w:hAnsi="Arial" w:eastAsia="Arial"/>
                <w:b/>
                <w:i w:val="0"/>
                <w:color w:val="1F3864"/>
                <w:sz w:val="17"/>
              </w:rPr>
              <w:t>#</w:t>
            </w:r>
          </w:p>
        </w:tc>
        <w:tc>
          <w:tcPr>
            <w:tcW w:type="dxa" w:w="1152"/>
            <w:vAlign w:val="center"/>
            <w:shd w:fill="D9EAF7"/>
          </w:tcPr>
          <w:p>
            <w:pPr>
              <w:spacing w:after="0"/>
            </w:pPr>
            <w:r/>
            <w:r>
              <w:rPr>
                <w:rFonts w:ascii="Arial" w:hAnsi="Arial" w:eastAsia="Arial"/>
                <w:b/>
                <w:i w:val="0"/>
                <w:color w:val="1F3864"/>
                <w:sz w:val="17"/>
              </w:rPr>
              <w:t>Date</w:t>
            </w:r>
          </w:p>
        </w:tc>
        <w:tc>
          <w:tcPr>
            <w:tcW w:type="dxa" w:w="1008"/>
            <w:vAlign w:val="center"/>
            <w:shd w:fill="D9EAF7"/>
          </w:tcPr>
          <w:p>
            <w:pPr>
              <w:spacing w:after="0"/>
            </w:pPr>
            <w:r/>
            <w:r>
              <w:rPr>
                <w:rFonts w:ascii="Arial" w:hAnsi="Arial" w:eastAsia="Arial"/>
                <w:b/>
                <w:i w:val="0"/>
                <w:color w:val="1F3864"/>
                <w:sz w:val="17"/>
              </w:rPr>
              <w:t>Type</w:t>
            </w:r>
          </w:p>
        </w:tc>
        <w:tc>
          <w:tcPr>
            <w:tcW w:type="dxa" w:w="4464"/>
            <w:vAlign w:val="center"/>
            <w:shd w:fill="D9EAF7"/>
          </w:tcPr>
          <w:p>
            <w:pPr>
              <w:spacing w:after="0"/>
            </w:pPr>
            <w:r/>
            <w:r>
              <w:rPr>
                <w:rFonts w:ascii="Arial" w:hAnsi="Arial" w:eastAsia="Arial"/>
                <w:b/>
                <w:i w:val="0"/>
                <w:color w:val="1F3864"/>
                <w:sz w:val="17"/>
              </w:rPr>
              <w:t>Title</w:t>
            </w:r>
          </w:p>
        </w:tc>
        <w:tc>
          <w:tcPr>
            <w:tcW w:type="dxa" w:w="2880"/>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2</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3</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4</w:t>
            </w:r>
          </w:p>
        </w:tc>
        <w:tc>
          <w:tcPr>
            <w:tcW w:type="dxa" w:w="1152"/>
            <w:vAlign w:val="center"/>
          </w:tcPr>
          <w:p>
            <w:pPr>
              <w:spacing w:after="0"/>
            </w:pPr>
            <w:r/>
            <w:r>
              <w:rPr>
                <w:rFonts w:ascii="Arial" w:hAnsi="Arial" w:eastAsia="Arial"/>
                <w:b w:val="0"/>
                <w:i w:val="0"/>
                <w:sz w:val="17"/>
              </w:rPr>
              <w:t>Apr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Mayo Obesity Staging Index: A Novel Obesity Classification System</w:t>
            </w:r>
          </w:p>
        </w:tc>
        <w:tc>
          <w:tcPr>
            <w:tcW w:type="dxa" w:w="2880"/>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5</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880"/>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6</w:t>
            </w:r>
          </w:p>
        </w:tc>
        <w:tc>
          <w:tcPr>
            <w:tcW w:type="dxa" w:w="1152"/>
            <w:vAlign w:val="center"/>
          </w:tcPr>
          <w:p>
            <w:pPr>
              <w:spacing w:after="0"/>
            </w:pPr>
            <w:r/>
            <w:r>
              <w:rPr>
                <w:rFonts w:ascii="Arial" w:hAnsi="Arial" w:eastAsia="Arial"/>
                <w:b w:val="0"/>
                <w:i w:val="0"/>
                <w:sz w:val="17"/>
              </w:rPr>
              <w:t>Mar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880"/>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7</w:t>
            </w:r>
          </w:p>
        </w:tc>
        <w:tc>
          <w:tcPr>
            <w:tcW w:type="dxa" w:w="1152"/>
            <w:vAlign w:val="center"/>
          </w:tcPr>
          <w:p>
            <w:pPr>
              <w:spacing w:after="0"/>
            </w:pPr>
            <w:r/>
            <w:r>
              <w:rPr>
                <w:rFonts w:ascii="Arial" w:hAnsi="Arial" w:eastAsia="Arial"/>
                <w:b w:val="0"/>
                <w:i w:val="0"/>
                <w:sz w:val="17"/>
              </w:rPr>
              <w:t>Dec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880"/>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8</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9</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10</w:t>
            </w:r>
          </w:p>
        </w:tc>
        <w:tc>
          <w:tcPr>
            <w:tcW w:type="dxa" w:w="1152"/>
            <w:vAlign w:val="center"/>
          </w:tcPr>
          <w:p>
            <w:pPr>
              <w:spacing w:after="0"/>
            </w:pPr>
            <w:r/>
            <w:r>
              <w:rPr>
                <w:rFonts w:ascii="Arial" w:hAnsi="Arial" w:eastAsia="Arial"/>
                <w:b w:val="0"/>
                <w:i w:val="0"/>
                <w:sz w:val="17"/>
              </w:rPr>
              <w:t>Jul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Trend and Changes in AI based on Patient Perspectives</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11</w:t>
            </w:r>
          </w:p>
        </w:tc>
        <w:tc>
          <w:tcPr>
            <w:tcW w:type="dxa" w:w="1152"/>
            <w:vAlign w:val="center"/>
          </w:tcPr>
          <w:p>
            <w:pPr>
              <w:spacing w:after="0"/>
            </w:pPr>
            <w:r/>
            <w:r>
              <w:rPr>
                <w:rFonts w:ascii="Arial" w:hAnsi="Arial" w:eastAsia="Arial"/>
                <w:b w:val="0"/>
                <w:i w:val="0"/>
                <w:sz w:val="17"/>
              </w:rPr>
              <w:t>Apr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880"/>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12</w:t>
            </w:r>
          </w:p>
        </w:tc>
        <w:tc>
          <w:tcPr>
            <w:tcW w:type="dxa" w:w="1152"/>
            <w:vAlign w:val="center"/>
          </w:tcPr>
          <w:p>
            <w:pPr>
              <w:spacing w:after="0"/>
            </w:pPr>
            <w:r/>
            <w:r>
              <w:rPr>
                <w:rFonts w:ascii="Arial" w:hAnsi="Arial" w:eastAsia="Arial"/>
                <w:b w:val="0"/>
                <w:i w:val="0"/>
                <w:sz w:val="17"/>
              </w:rPr>
              <w:t>Dec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COVID-19 Versus Applied Infection Control Policies in a Major Transplant Center in Iran</w:t>
            </w:r>
          </w:p>
        </w:tc>
        <w:tc>
          <w:tcPr>
            <w:tcW w:type="dxa" w:w="2880"/>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13</w:t>
            </w:r>
          </w:p>
        </w:tc>
        <w:tc>
          <w:tcPr>
            <w:tcW w:type="dxa" w:w="1152"/>
            <w:vAlign w:val="center"/>
          </w:tcPr>
          <w:p>
            <w:pPr>
              <w:spacing w:after="0"/>
            </w:pPr>
            <w:r/>
            <w:r>
              <w:rPr>
                <w:rFonts w:ascii="Arial" w:hAnsi="Arial" w:eastAsia="Arial"/>
                <w:b w:val="0"/>
                <w:i w:val="0"/>
                <w:sz w:val="17"/>
              </w:rPr>
              <w:t>Oct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880"/>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14</w:t>
            </w:r>
          </w:p>
        </w:tc>
        <w:tc>
          <w:tcPr>
            <w:tcW w:type="dxa" w:w="1152"/>
            <w:vAlign w:val="center"/>
          </w:tcPr>
          <w:p>
            <w:pPr>
              <w:spacing w:after="0"/>
            </w:pPr>
            <w:r/>
            <w:r>
              <w:rPr>
                <w:rFonts w:ascii="Arial" w:hAnsi="Arial" w:eastAsia="Arial"/>
                <w:b w:val="0"/>
                <w:i w:val="0"/>
                <w:sz w:val="17"/>
              </w:rPr>
              <w:t>Oct 2021</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Suicide by Self-immolation in Southern Iran: An Epidemiological Study</w:t>
            </w:r>
          </w:p>
        </w:tc>
        <w:tc>
          <w:tcPr>
            <w:tcW w:type="dxa" w:w="2880"/>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15</w:t>
            </w:r>
          </w:p>
        </w:tc>
        <w:tc>
          <w:tcPr>
            <w:tcW w:type="dxa" w:w="1152"/>
            <w:vAlign w:val="center"/>
          </w:tcPr>
          <w:p>
            <w:pPr>
              <w:spacing w:after="0"/>
            </w:pPr>
            <w:r/>
            <w:r>
              <w:rPr>
                <w:rFonts w:ascii="Arial" w:hAnsi="Arial" w:eastAsia="Arial"/>
                <w:b w:val="0"/>
                <w:i w:val="0"/>
                <w:sz w:val="17"/>
              </w:rPr>
              <w:t>Jul 2021</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880"/>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16</w:t>
            </w:r>
          </w:p>
        </w:tc>
        <w:tc>
          <w:tcPr>
            <w:tcW w:type="dxa" w:w="1152"/>
            <w:vAlign w:val="center"/>
          </w:tcPr>
          <w:p>
            <w:pPr>
              <w:spacing w:after="0"/>
            </w:pPr>
            <w:r/>
            <w:r>
              <w:rPr>
                <w:rFonts w:ascii="Arial" w:hAnsi="Arial" w:eastAsia="Arial"/>
                <w:b w:val="0"/>
                <w:i w:val="0"/>
                <w:sz w:val="17"/>
              </w:rPr>
              <w:t>Sep 2020</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880"/>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17</w:t>
            </w:r>
          </w:p>
        </w:tc>
        <w:tc>
          <w:tcPr>
            <w:tcW w:type="dxa" w:w="1152"/>
            <w:vAlign w:val="center"/>
          </w:tcPr>
          <w:p>
            <w:pPr>
              <w:spacing w:after="0"/>
            </w:pPr>
            <w:r/>
            <w:r>
              <w:rPr>
                <w:rFonts w:ascii="Arial" w:hAnsi="Arial" w:eastAsia="Arial"/>
                <w:b w:val="0"/>
                <w:i w:val="0"/>
                <w:sz w:val="17"/>
              </w:rPr>
              <w:t>Oct 2019</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880"/>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18</w:t>
            </w:r>
          </w:p>
        </w:tc>
        <w:tc>
          <w:tcPr>
            <w:tcW w:type="dxa" w:w="1152"/>
            <w:vAlign w:val="center"/>
          </w:tcPr>
          <w:p>
            <w:pPr>
              <w:spacing w:after="0"/>
            </w:pPr>
            <w:r/>
            <w:r>
              <w:rPr>
                <w:rFonts w:ascii="Arial" w:hAnsi="Arial" w:eastAsia="Arial"/>
                <w:b w:val="0"/>
                <w:i w:val="0"/>
                <w:sz w:val="17"/>
              </w:rPr>
              <w:t>Apr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880"/>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19</w:t>
            </w:r>
          </w:p>
        </w:tc>
        <w:tc>
          <w:tcPr>
            <w:tcW w:type="dxa" w:w="1152"/>
            <w:vAlign w:val="center"/>
          </w:tcPr>
          <w:p>
            <w:pPr>
              <w:spacing w:after="0"/>
            </w:pPr>
            <w:r/>
            <w:r>
              <w:rPr>
                <w:rFonts w:ascii="Arial" w:hAnsi="Arial" w:eastAsia="Arial"/>
                <w:b w:val="0"/>
                <w:i w:val="0"/>
                <w:sz w:val="17"/>
              </w:rPr>
              <w:t>Mar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Successful Use of Persian Medicine Preparation Ma'aljobon in a Patient with Chronic Cough</w:t>
            </w:r>
          </w:p>
        </w:tc>
        <w:tc>
          <w:tcPr>
            <w:tcW w:type="dxa" w:w="2880"/>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20</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21</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Ulcerative Colitis Treatment with Rectal Administration of Colostrum in Rats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bl>
    <w:p>
      <w:pPr>
        <w:spacing w:after="40" w:before="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