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May 10,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3387</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bl>
    <w:p>
      <w:pPr>
        <w:spacing w:after="40" w:before="0"/>
      </w:pP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December 2023</w:t>
            </w:r>
          </w:p>
        </w:tc>
        <w:tc>
          <w:tcPr>
            <w:tcW w:type="dxa" w:w="3456"/>
            <w:vAlign w:val="center"/>
          </w:tcPr>
          <w:p>
            <w:pPr>
              <w:spacing w:after="0"/>
            </w:pPr>
            <w:r/>
            <w:r>
              <w:rPr>
                <w:rFonts w:ascii="Arial" w:hAnsi="Arial" w:eastAsia="Arial"/>
                <w:b w:val="0"/>
                <w:i w:val="0"/>
                <w:sz w:val="17"/>
              </w:rPr>
              <w:t>World Top 2% Scientists</w:t>
            </w:r>
          </w:p>
        </w:tc>
        <w:tc>
          <w:tcPr>
            <w:tcW w:type="dxa" w:w="3456"/>
            <w:vAlign w:val="center"/>
          </w:tcPr>
          <w:p>
            <w:pPr>
              <w:spacing w:after="0"/>
            </w:pPr>
            <w:r/>
            <w:r>
              <w:rPr>
                <w:rFonts w:ascii="Arial" w:hAnsi="Arial" w:eastAsia="Arial"/>
                <w:b w:val="0"/>
                <w:i w:val="0"/>
                <w:sz w:val="17"/>
              </w:rPr>
              <w:t>Elsevier Data Repository / Stanford University</w:t>
            </w:r>
          </w:p>
        </w:tc>
      </w:tr>
      <w:tr>
        <w:tc>
          <w:tcPr>
            <w:tcW w:type="dxa" w:w="3456"/>
            <w:vAlign w:val="center"/>
          </w:tcPr>
          <w:p>
            <w:pPr>
              <w:spacing w:after="0"/>
            </w:pPr>
            <w:r/>
            <w:r>
              <w:rPr>
                <w:rFonts w:ascii="Arial" w:hAnsi="Arial" w:eastAsia="Arial"/>
                <w:b w:val="0"/>
                <w:i w:val="0"/>
                <w:sz w:val="17"/>
              </w:rPr>
              <w:t>October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Ministry of Health and Medical Education · National Student Research Committee, Iran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Inspector &amp; Mentoring Program — Founder and Director</w:t>
            </w:r>
          </w:p>
        </w:tc>
        <w:tc>
          <w:tcPr>
            <w:tcW w:type="dxa" w:w="2592"/>
            <w:vAlign w:val="center"/>
          </w:tcPr>
          <w:p>
            <w:pPr>
              <w:spacing w:after="0"/>
            </w:pPr>
            <w:r/>
            <w:r>
              <w:rPr>
                <w:rFonts w:ascii="Arial" w:hAnsi="Arial" w:eastAsia="Arial"/>
                <w:b w:val="0"/>
                <w:i w:val="0"/>
                <w:sz w:val="17"/>
              </w:rPr>
              <w:t>Thoracic and Vascular Surgery Research Center · Shiraz University of Medical Sciences ·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Computing</w:t>
            </w:r>
          </w:p>
        </w:tc>
        <w:tc>
          <w:tcPr>
            <w:tcW w:type="dxa" w:w="7488"/>
            <w:vAlign w:val="center"/>
          </w:tcPr>
          <w:p>
            <w:pPr>
              <w:spacing w:after="0"/>
            </w:pPr>
            <w:r/>
            <w:r>
              <w:rPr>
                <w:rFonts w:ascii="Arial" w:hAnsi="Arial" w:eastAsia="Arial"/>
                <w:b w:val="0"/>
                <w:i w:val="0"/>
                <w:sz w:val="17"/>
              </w:rPr>
              <w:t>SPSS (Good); MS Office (Good); Endnote (Good); Corel Video Studio (Good); Python (Beginner); MATLAB (Beginner); NCSS (Beginner); Azure DevOps (Beginner); Typing (90 wpm)</w:t>
            </w:r>
          </w:p>
        </w:tc>
      </w:tr>
      <w:tr>
        <w:tc>
          <w:tcPr>
            <w:tcW w:type="dxa" w:w="2016"/>
            <w:vAlign w:val="center"/>
          </w:tcPr>
          <w:p>
            <w:pPr>
              <w:spacing w:after="0"/>
            </w:pPr>
            <w:r/>
            <w:r>
              <w:rPr>
                <w:rFonts w:ascii="Arial" w:hAnsi="Arial" w:eastAsia="Arial"/>
                <w:b w:val="0"/>
                <w:i w:val="0"/>
                <w:sz w:val="17"/>
              </w:rPr>
              <w:t>Interpersonal</w:t>
            </w:r>
          </w:p>
        </w:tc>
        <w:tc>
          <w:tcPr>
            <w:tcW w:type="dxa" w:w="7488"/>
            <w:vAlign w:val="center"/>
          </w:tcPr>
          <w:p>
            <w:pPr>
              <w:spacing w:after="0"/>
            </w:pPr>
            <w:r/>
            <w:r>
              <w:rPr>
                <w:rFonts w:ascii="Arial" w:hAnsi="Arial" w:eastAsia="Arial"/>
                <w:b w:val="0"/>
                <w:i w:val="0"/>
                <w:sz w:val="17"/>
              </w:rPr>
              <w:t>Leadership; Presentation; Time Management; Effective Listening; Team Player; Problem-Solving; Scientific Editing; Translation EN↔FA</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3387</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