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195</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38</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24</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3496</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August 24,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3496</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24</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28</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3</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Wu KY*, Stephens T, </w:t>
      </w:r>
      <w:r>
        <w:rPr>
          <w:rFonts w:ascii="Arial" w:hAnsi="Arial" w:eastAsia="Arial"/>
          <w:b/>
          <w:i w:val="0"/>
          <w:sz w:val="16"/>
        </w:rPr>
        <w:t>Shahriarirad R</w:t>
      </w:r>
      <w:r>
        <w:rPr>
          <w:rFonts w:ascii="Arial" w:hAnsi="Arial" w:eastAsia="Arial"/>
          <w:b w:val="0"/>
          <w:i w:val="0"/>
          <w:sz w:val="16"/>
        </w:rPr>
        <w:t>,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without Bone Marrow Involvement and Following Autologous Bone Marrow Transplant: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195. </w:t>
      </w:r>
      <w:r>
        <w:rPr>
          <w:rFonts w:ascii="Arial" w:hAnsi="Arial" w:eastAsia="Arial"/>
          <w:b w:val="0"/>
          <w:i w:val="0"/>
          <w:sz w:val="16"/>
        </w:rPr>
        <w:t xml:space="preserve">Mardani P, Hashempour Z*, </w:t>
      </w:r>
      <w:r>
        <w:rPr>
          <w:rFonts w:ascii="Arial" w:hAnsi="Arial" w:eastAsia="Arial"/>
          <w:b/>
          <w:i w:val="0"/>
          <w:sz w:val="16"/>
        </w:rPr>
        <w:t>Shahriarirad R</w:t>
      </w:r>
      <w:r>
        <w:rPr>
          <w:rFonts w:ascii="Arial" w:hAnsi="Arial" w:eastAsia="Arial"/>
          <w:b w:val="0"/>
          <w:i w:val="0"/>
          <w:sz w:val="16"/>
        </w:rPr>
        <w:t xml:space="preserve"> Epithelioid hemangioendothelioma prognosis and outcome: report of two challenging cases.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Research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22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r>
        <w:tc>
          <w:tcPr>
            <w:tcW w:type="dxa" w:w="504"/>
            <w:vAlign w:val="center"/>
          </w:tcPr>
          <w:p>
            <w:pPr>
              <w:spacing w:after="0"/>
            </w:pPr>
            <w:r/>
            <w:r>
              <w:rPr>
                <w:rFonts w:ascii="Arial" w:hAnsi="Arial" w:eastAsia="Arial"/>
                <w:b w:val="0"/>
                <w:i w:val="0"/>
                <w:sz w:val="17"/>
              </w:rPr>
              <w:t>23</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AI-Based Computer Vision System for Surgical Decision Support in Abdominal Wall Reconstruction Using CT Imaging</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24</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25</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Five-Year Utilization, Predictors, and Weight-Loss Thresholds for Plastic Surgery After Bariatric Surgery</w:t>
            </w:r>
          </w:p>
        </w:tc>
        <w:tc>
          <w:tcPr>
            <w:tcW w:type="dxa" w:w="2880"/>
            <w:vAlign w:val="center"/>
          </w:tcPr>
          <w:p>
            <w:pPr>
              <w:spacing w:after="0"/>
            </w:pPr>
            <w:r/>
            <w:r>
              <w:rPr>
                <w:rFonts w:ascii="Arial" w:hAnsi="Arial" w:eastAsia="Arial"/>
                <w:b w:val="0"/>
                <w:i w:val="0"/>
                <w:sz w:val="17"/>
              </w:rPr>
              <w:t>32nd Annual Balfour Surgery Research Symposium; United States</w:t>
            </w:r>
          </w:p>
        </w:tc>
      </w:tr>
      <w:tr>
        <w:tc>
          <w:tcPr>
            <w:tcW w:type="dxa" w:w="504"/>
            <w:vAlign w:val="center"/>
          </w:tcPr>
          <w:p>
            <w:pPr>
              <w:spacing w:after="0"/>
            </w:pPr>
            <w:r/>
            <w:r>
              <w:rPr>
                <w:rFonts w:ascii="Arial" w:hAnsi="Arial" w:eastAsia="Arial"/>
                <w:b w:val="0"/>
                <w:i w:val="0"/>
                <w:sz w:val="17"/>
              </w:rPr>
              <w:t>26</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Mayo Obesity Staging Index (MOSI): Development of a Staging Framework for Metabolic Surgery</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27</w:t>
            </w:r>
          </w:p>
        </w:tc>
        <w:tc>
          <w:tcPr>
            <w:tcW w:type="dxa" w:w="1152"/>
            <w:vAlign w:val="center"/>
          </w:tcPr>
          <w:p>
            <w:pPr>
              <w:spacing w:after="0"/>
            </w:pPr>
            <w:r/>
            <w:r>
              <w:rPr>
                <w:rFonts w:ascii="Arial" w:hAnsi="Arial" w:eastAsia="Arial"/>
                <w:b w:val="0"/>
                <w:i w:val="0"/>
                <w:sz w:val="17"/>
              </w:rPr>
              <w:t>Oct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Metabolic Surgery Improves Biological Aging as Assessed by AI-Derived Electrocardiogram Age</w:t>
            </w:r>
          </w:p>
        </w:tc>
        <w:tc>
          <w:tcPr>
            <w:tcW w:type="dxa" w:w="2880"/>
            <w:vAlign w:val="center"/>
          </w:tcPr>
          <w:p>
            <w:pPr>
              <w:spacing w:after="0"/>
            </w:pPr>
            <w:r/>
            <w:r>
              <w:rPr>
                <w:rFonts w:ascii="Arial" w:hAnsi="Arial" w:eastAsia="Arial"/>
                <w:b w:val="0"/>
                <w:i w:val="0"/>
                <w:sz w:val="17"/>
              </w:rPr>
              <w:t>32nd Annual Balfour Surgery Research Symposium · Poster of Distinction; United States</w:t>
            </w:r>
          </w:p>
        </w:tc>
      </w:tr>
      <w:tr>
        <w:tc>
          <w:tcPr>
            <w:tcW w:type="dxa" w:w="504"/>
            <w:vAlign w:val="center"/>
          </w:tcPr>
          <w:p>
            <w:pPr>
              <w:spacing w:after="0"/>
            </w:pPr>
            <w:r/>
            <w:r>
              <w:rPr>
                <w:rFonts w:ascii="Arial" w:hAnsi="Arial" w:eastAsia="Arial"/>
                <w:b w:val="0"/>
                <w:i w:val="0"/>
                <w:sz w:val="17"/>
              </w:rPr>
              <w:t>28</w:t>
            </w:r>
          </w:p>
        </w:tc>
        <w:tc>
          <w:tcPr>
            <w:tcW w:type="dxa" w:w="1152"/>
            <w:vAlign w:val="center"/>
          </w:tcPr>
          <w:p>
            <w:pPr>
              <w:spacing w:after="0"/>
            </w:pPr>
            <w:r/>
            <w:r>
              <w:rPr>
                <w:rFonts w:ascii="Arial" w:hAnsi="Arial" w:eastAsia="Arial"/>
                <w:b w:val="0"/>
                <w:i w:val="0"/>
                <w:sz w:val="17"/>
              </w:rPr>
              <w:t>Sep 2026</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Clinical Features and Outcomes of Microvascular Free Flap Reconstruction of the Head and Neck</w:t>
            </w:r>
          </w:p>
        </w:tc>
        <w:tc>
          <w:tcPr>
            <w:tcW w:type="dxa" w:w="2880"/>
            <w:vAlign w:val="center"/>
          </w:tcPr>
          <w:p>
            <w:pPr>
              <w:spacing w:after="0"/>
            </w:pPr>
            <w:r/>
            <w:r>
              <w:rPr>
                <w:rFonts w:ascii="Arial" w:hAnsi="Arial" w:eastAsia="Arial"/>
                <w:b w:val="0"/>
                <w:i w:val="0"/>
                <w:sz w:val="17"/>
              </w:rPr>
              <w:t>American College of Surgeons (ACS) Clinical Congress; United States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