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197</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September 15,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31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6</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197. </w:t>
      </w:r>
      <w:r>
        <w:rPr>
          <w:rFonts w:ascii="Arial" w:hAnsi="Arial" w:eastAsia="Arial"/>
          <w:b/>
          <w:i w:val="0"/>
          <w:sz w:val="16"/>
        </w:rPr>
        <w:t>Shahriarirad R</w:t>
      </w:r>
      <w:r>
        <w:rPr>
          <w:rFonts w:ascii="Arial" w:hAnsi="Arial" w:eastAsia="Arial"/>
          <w:b w:val="0"/>
          <w:i w:val="0"/>
          <w:sz w:val="16"/>
        </w:rPr>
        <w:t>, Kalhor P, Aslahishahri M, Ghusn W, Attia ZI, El Ghazal N, Ghanem OM, Laplante S*</w:t>
      </w:r>
      <w:r>
        <w:rPr>
          <w:rFonts w:ascii="Arial" w:hAnsi="Arial" w:eastAsia="Arial"/>
          <w:b w:val="0"/>
          <w:i w:val="0"/>
          <w:sz w:val="16"/>
        </w:rPr>
        <w:t xml:space="preserve"> Metabolic and Bariatric Surgery and Change in the AI-ECG–Derived Biological-Age Gap: A Longitudinal Cohort Study. </w:t>
      </w:r>
      <w:r>
        <w:rPr>
          <w:rFonts w:ascii="Arial" w:hAnsi="Arial" w:eastAsia="Arial"/>
          <w:b w:val="0"/>
          <w:i/>
          <w:sz w:val="16"/>
        </w:rPr>
        <w:t>Obesity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22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r>
        <w:tc>
          <w:tcPr>
            <w:tcW w:type="dxa" w:w="504"/>
            <w:vAlign w:val="center"/>
          </w:tcPr>
          <w:p>
            <w:pPr>
              <w:spacing w:after="0"/>
            </w:pPr>
            <w:r/>
            <w:r>
              <w:rPr>
                <w:rFonts w:ascii="Arial" w:hAnsi="Arial" w:eastAsia="Arial"/>
                <w:b w:val="0"/>
                <w:i w:val="0"/>
                <w:sz w:val="17"/>
              </w:rPr>
              <w:t>29</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Femoral Nerve Procedures for the Spastic Knee: A Clinical and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30</w:t>
            </w:r>
          </w:p>
        </w:tc>
        <w:tc>
          <w:tcPr>
            <w:tcW w:type="dxa" w:w="1152"/>
            <w:vAlign w:val="center"/>
          </w:tcPr>
          <w:p>
            <w:pPr>
              <w:spacing w:after="0"/>
            </w:pPr>
            <w:r/>
            <w:r>
              <w:rPr>
                <w:rFonts w:ascii="Arial" w:hAnsi="Arial" w:eastAsia="Arial"/>
                <w:b w:val="0"/>
                <w:i w:val="0"/>
                <w:sz w:val="17"/>
              </w:rPr>
              <w:t>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31</w:t>
            </w:r>
          </w:p>
        </w:tc>
        <w:tc>
          <w:tcPr>
            <w:tcW w:type="dxa" w:w="1152"/>
            <w:vAlign w:val="center"/>
          </w:tcPr>
          <w:p>
            <w:pPr>
              <w:spacing w:after="0"/>
            </w:pPr>
            <w:r/>
            <w:r>
              <w:rPr>
                <w:rFonts w:ascii="Arial" w:hAnsi="Arial" w:eastAsia="Arial"/>
                <w:b w:val="0"/>
                <w:i w:val="0"/>
                <w:sz w:val="17"/>
              </w:rPr>
              <w:t>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The Mayo Obesity Staging Index (MOSI): A Novel Staging Framework for Metabolic Surgery</w:t>
            </w:r>
          </w:p>
        </w:tc>
        <w:tc>
          <w:tcPr>
            <w:tcW w:type="dxa" w:w="2880"/>
            <w:vAlign w:val="center"/>
          </w:tcPr>
          <w:p>
            <w:pPr>
              <w:spacing w:after="0"/>
            </w:pPr>
            <w:r/>
            <w:r>
              <w:rPr>
                <w:rFonts w:ascii="Arial" w:hAnsi="Arial" w:eastAsia="Arial"/>
                <w:b w:val="0"/>
                <w:i w:val="0"/>
                <w:sz w:val="17"/>
              </w:rPr>
              <w:t>Minnesota Surgical Society Annual Meeting 2026; United States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