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197</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48</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69</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3604</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October 27,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3604</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25</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2026</w:t>
            </w:r>
          </w:p>
        </w:tc>
        <w:tc>
          <w:tcPr>
            <w:tcW w:type="dxa" w:w="3456"/>
            <w:vAlign w:val="center"/>
          </w:tcPr>
          <w:p>
            <w:pPr>
              <w:spacing w:after="0"/>
            </w:pPr>
            <w:r/>
            <w:r>
              <w:rPr>
                <w:rFonts w:ascii="Arial" w:hAnsi="Arial" w:eastAsia="Arial"/>
                <w:b w:val="0"/>
                <w:i w:val="0"/>
                <w:sz w:val="17"/>
              </w:rPr>
              <w:t>Team Collaboration Award (Project Lead)</w:t>
            </w:r>
          </w:p>
        </w:tc>
        <w:tc>
          <w:tcPr>
            <w:tcW w:type="dxa" w:w="3456"/>
            <w:vAlign w:val="center"/>
          </w:tcPr>
          <w:p>
            <w:pPr>
              <w:spacing w:after="0"/>
            </w:pPr>
            <w:r/>
            <w:r>
              <w:rPr>
                <w:rFonts w:ascii="Arial" w:hAnsi="Arial" w:eastAsia="Arial"/>
                <w:b w:val="0"/>
                <w:i w:val="0"/>
                <w:sz w:val="17"/>
              </w:rPr>
              <w:t>Mayo Research Fellows' Association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Sep 2026</w:t>
            </w:r>
          </w:p>
        </w:tc>
        <w:tc>
          <w:tcPr>
            <w:tcW w:type="dxa" w:w="2592"/>
            <w:vAlign w:val="center"/>
          </w:tcPr>
          <w:p>
            <w:pPr>
              <w:spacing w:after="0"/>
            </w:pPr>
            <w:r/>
            <w:r>
              <w:rPr>
                <w:rFonts w:ascii="Arial" w:hAnsi="Arial" w:eastAsia="Arial"/>
                <w:b w:val="0"/>
                <w:i w:val="0"/>
                <w:sz w:val="17"/>
              </w:rPr>
              <w:t>Teaching Assistant – ACS Clinical Congress 2026 Hands-On AI Course (Computer Vision Session)</w:t>
            </w:r>
          </w:p>
        </w:tc>
        <w:tc>
          <w:tcPr>
            <w:tcW w:type="dxa" w:w="2592"/>
            <w:vAlign w:val="center"/>
          </w:tcPr>
          <w:p>
            <w:pPr>
              <w:spacing w:after="0"/>
            </w:pPr>
            <w:r/>
            <w:r>
              <w:rPr>
                <w:rFonts w:ascii="Arial" w:hAnsi="Arial" w:eastAsia="Arial"/>
                <w:b w:val="0"/>
                <w:i w:val="0"/>
                <w:sz w:val="17"/>
              </w:rPr>
              <w:t>American College of Surgeons Clinical Congress 2026, Washington, DC</w:t>
            </w:r>
          </w:p>
        </w:tc>
        <w:tc>
          <w:tcPr>
            <w:tcW w:type="dxa" w:w="2592"/>
            <w:vAlign w:val="center"/>
          </w:tcPr>
          <w:p>
            <w:pPr>
              <w:spacing w:after="0"/>
            </w:pPr>
            <w:r/>
            <w:r>
              <w:rPr>
                <w:rFonts w:ascii="Arial" w:hAnsi="Arial" w:eastAsia="Arial"/>
                <w:b w:val="0"/>
                <w:i w:val="0"/>
                <w:sz w:val="17"/>
              </w:rPr>
              <w:t>Taught in the computer vision session of the ACS hands-on course “AI Skills: What Can I Do Now and What's Coming in the Future?” as part of the A-Star Lab faculty team, alongside faculty from Moonshot AI and Stanford University. Guided surgeons and clinicians as they annotated laparoscopic cholecystectomy frames in teams, labeling anatomy and instruments, then trained models on their own labels and compared the results side by side to see how annotation quality shapes what AI learns to see.</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33</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27</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6</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Wu KY*, Stephens T, </w:t>
      </w:r>
      <w:r>
        <w:rPr>
          <w:rFonts w:ascii="Arial" w:hAnsi="Arial" w:eastAsia="Arial"/>
          <w:b/>
          <w:i w:val="0"/>
          <w:sz w:val="16"/>
        </w:rPr>
        <w:t>Shahriarirad R</w:t>
      </w:r>
      <w:r>
        <w:rPr>
          <w:rFonts w:ascii="Arial" w:hAnsi="Arial" w:eastAsia="Arial"/>
          <w:b w:val="0"/>
          <w:i w:val="0"/>
          <w:sz w:val="16"/>
        </w:rPr>
        <w:t>, Rhee PC</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196. </w:t>
      </w:r>
      <w:r>
        <w:rPr>
          <w:rFonts w:ascii="Arial" w:hAnsi="Arial" w:eastAsia="Arial"/>
          <w:b w:val="0"/>
          <w:i w:val="0"/>
          <w:sz w:val="16"/>
        </w:rPr>
        <w:t xml:space="preserve">Rao V, Chen E, Saenz A, Banerjee O, Marklund H, … </w:t>
      </w:r>
      <w:r>
        <w:rPr>
          <w:rFonts w:ascii="Arial" w:hAnsi="Arial" w:eastAsia="Arial"/>
          <w:b/>
          <w:i w:val="0"/>
          <w:sz w:val="16"/>
        </w:rPr>
        <w:t>Shahriarirad R</w:t>
      </w:r>
      <w:r>
        <w:rPr>
          <w:rFonts w:ascii="Arial" w:hAnsi="Arial" w:eastAsia="Arial"/>
          <w:b w:val="0"/>
          <w:i w:val="0"/>
          <w:sz w:val="16"/>
        </w:rPr>
        <w:t>, Erfani A, … Rajpurkar P*</w:t>
      </w:r>
      <w:r>
        <w:rPr>
          <w:rFonts w:ascii="Arial" w:hAnsi="Arial" w:eastAsia="Arial"/>
          <w:b w:val="0"/>
          <w:i w:val="0"/>
          <w:sz w:val="16"/>
        </w:rPr>
        <w:t xml:space="preserve"> Repurposing Adult AI Radiograph Models for Neonatal Care Through Continual Learning: An International Multicenter Study. </w:t>
      </w:r>
      <w:r>
        <w:rPr>
          <w:rFonts w:ascii="Arial" w:hAnsi="Arial" w:eastAsia="Arial"/>
          <w:b w:val="0"/>
          <w:i/>
          <w:sz w:val="16"/>
        </w:rPr>
        <w:t>Nature Biomedical Engineering</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197. </w:t>
      </w:r>
      <w:r>
        <w:rPr>
          <w:rFonts w:ascii="Arial" w:hAnsi="Arial" w:eastAsia="Arial"/>
          <w:b/>
          <w:i w:val="0"/>
          <w:sz w:val="16"/>
        </w:rPr>
        <w:t>Shahriarirad R</w:t>
      </w:r>
      <w:r>
        <w:rPr>
          <w:rFonts w:ascii="Arial" w:hAnsi="Arial" w:eastAsia="Arial"/>
          <w:b w:val="0"/>
          <w:i w:val="0"/>
          <w:sz w:val="16"/>
        </w:rPr>
        <w:t>, Kalhor P, Aslahishahri M, Ghusn W, Attia ZI, El Ghazal N, Ghanem OM, Laplante S*</w:t>
      </w:r>
      <w:r>
        <w:rPr>
          <w:rFonts w:ascii="Arial" w:hAnsi="Arial" w:eastAsia="Arial"/>
          <w:b w:val="0"/>
          <w:i w:val="0"/>
          <w:sz w:val="16"/>
        </w:rPr>
        <w:t xml:space="preserve"> Metabolic and Bariatric Surgery and Change in the AI-ECG–Derived Biological-Age Gap: A Longitudinal Cohort Study. </w:t>
      </w:r>
      <w:r>
        <w:rPr>
          <w:rFonts w:ascii="Arial" w:hAnsi="Arial" w:eastAsia="Arial"/>
          <w:b w:val="0"/>
          <w:i/>
          <w:sz w:val="16"/>
        </w:rPr>
        <w:t>Obesity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without Bone Marrow Involvement and Following Autologous Bone Marrow Transplant: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195. </w:t>
      </w:r>
      <w:r>
        <w:rPr>
          <w:rFonts w:ascii="Arial" w:hAnsi="Arial" w:eastAsia="Arial"/>
          <w:b w:val="0"/>
          <w:i w:val="0"/>
          <w:sz w:val="16"/>
        </w:rPr>
        <w:t xml:space="preserve">Mardani P, Hashempour Z*, </w:t>
      </w:r>
      <w:r>
        <w:rPr>
          <w:rFonts w:ascii="Arial" w:hAnsi="Arial" w:eastAsia="Arial"/>
          <w:b/>
          <w:i w:val="0"/>
          <w:sz w:val="16"/>
        </w:rPr>
        <w:t>Shahriarirad R</w:t>
      </w:r>
      <w:r>
        <w:rPr>
          <w:rFonts w:ascii="Arial" w:hAnsi="Arial" w:eastAsia="Arial"/>
          <w:b w:val="0"/>
          <w:i w:val="0"/>
          <w:sz w:val="16"/>
        </w:rPr>
        <w:t xml:space="preserve"> Epithelioid hemangioendothelioma prognosis and outcome: report of two challenging cases.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Femoral Nerve Procedures for the Spastic Knee: A Clinical and Anatomic Study</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Nerve- and Tendon-Based Procedures for Spastic Calcaneal, Planovalgus, and Striatal Toe Deformities: An Anatomic Study</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Jan 2027</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Sciatic Nerve Procedures for the Spastic Knee in Ambulatory Patients: An Anatomic Study and Case Report</w:t>
            </w:r>
          </w:p>
        </w:tc>
        <w:tc>
          <w:tcPr>
            <w:tcW w:type="dxa" w:w="2880"/>
            <w:vAlign w:val="center"/>
          </w:tcPr>
          <w:p>
            <w:pPr>
              <w:spacing w:after="0"/>
            </w:pPr>
            <w:r/>
            <w:r>
              <w:rPr>
                <w:rFonts w:ascii="Arial" w:hAnsi="Arial" w:eastAsia="Arial"/>
                <w:b w:val="0"/>
                <w:i w:val="0"/>
                <w:sz w:val="17"/>
              </w:rPr>
              <w:t>American Society for Peripheral Nerve (ASPN) Annual Meeting;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Nov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Minnesota Surgical Society Annual Meeting 2026;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Nov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The Mayo Obesity Staging Index (MOSI): A Novel Staging Framework for Metabolic Surgery</w:t>
            </w:r>
          </w:p>
        </w:tc>
        <w:tc>
          <w:tcPr>
            <w:tcW w:type="dxa" w:w="2880"/>
            <w:vAlign w:val="center"/>
          </w:tcPr>
          <w:p>
            <w:pPr>
              <w:spacing w:after="0"/>
            </w:pPr>
            <w:r/>
            <w:r>
              <w:rPr>
                <w:rFonts w:ascii="Arial" w:hAnsi="Arial" w:eastAsia="Arial"/>
                <w:b w:val="0"/>
                <w:i w:val="0"/>
                <w:sz w:val="17"/>
              </w:rPr>
              <w:t>Minnesota Surgical Society Annual Meeting 2026 · Best Oral Presentation Award;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Sep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Clinical Features and Outcomes of Microvascular Free Flap Reconstruction of the Head and Neck</w:t>
            </w:r>
          </w:p>
        </w:tc>
        <w:tc>
          <w:tcPr>
            <w:tcW w:type="dxa" w:w="2880"/>
            <w:vAlign w:val="center"/>
          </w:tcPr>
          <w:p>
            <w:pPr>
              <w:spacing w:after="0"/>
            </w:pPr>
            <w:r/>
            <w:r>
              <w:rPr>
                <w:rFonts w:ascii="Arial" w:hAnsi="Arial" w:eastAsia="Arial"/>
                <w:b w:val="0"/>
                <w:i w:val="0"/>
                <w:sz w:val="17"/>
              </w:rPr>
              <w:t>American College of Surgeons (ACS) Clinical Congress;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Jul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26</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27</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28</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29</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30</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31</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32</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33</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