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3428</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July 20,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3428</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Fellow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currently involved in approximately 40 active projects across the Department of Surgery, including around 25 projects in active phases such as patient recruitment, data collection, data analysis, and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Fellow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MRFA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