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line="240"/>
        <w:jc w:val="left"/>
      </w:pPr>
      <w:r>
        <w:rPr>
          <w:b/>
          <w:bCs/>
          <w:color w:val="0C447C"/>
          <w:sz w:val="40"/>
          <w:szCs w:val="40"/>
        </w:rPr>
        <w:t xml:space="preserve">Kusile WaterGuard – 2-Minute Pitch Script</w:t>
      </w:r>
    </w:p>
    <w:p>
      <w:pPr>
        <w:spacing w:after="120"/>
      </w:pPr>
      <w:r>
        <w:rPr>
          <w:color w:val="5F5E5A"/>
          <w:sz w:val="26"/>
          <w:szCs w:val="26"/>
        </w:rPr>
        <w:t xml:space="preserve">7 slides · about 300 words · read aloud, twice, against a timer</w:t>
      </w:r>
    </w:p>
    <w:p>
      <w:pPr>
        <w:pBdr>
          <w:bottom w:val="single" w:color="185FA5" w:sz="12" w:space="6"/>
        </w:pBdr>
        <w:spacing w:after="200"/>
      </w:pPr>
    </w:p>
    <w:p>
      <w:pPr>
        <w:pStyle w:val="Heading1"/>
      </w:pPr>
      <w:r>
        <w:t xml:space="preserve">Slide 1 — The problem (25 seconds)</w:t>
      </w:r>
    </w:p>
    <w:p>
      <w:pPr>
        <w:spacing w:after="140"/>
      </w:pPr>
      <w:r>
        <w:t xml:space="preserve">Every day, 25 million litres of water collects in the old coal mines beneath eMalahleni. Ten Olympic swimming pools. Every day.</w:t>
      </w:r>
    </w:p>
    <w:p>
      <w:pPr>
        <w:spacing w:after="140"/>
      </w:pPr>
      <w:r>
        <w:rPr>
          <w:b/>
          <w:bCs/>
        </w:rPr>
        <w:t xml:space="preserve">[PAUSE — two seconds]</w:t>
      </w:r>
    </w:p>
    <w:p>
      <w:pPr>
        <w:spacing w:after="140"/>
      </w:pPr>
      <w:r>
        <w:t xml:space="preserve">Most of it will leave those mines without anyone testing it.</w:t>
      </w:r>
    </w:p>
    <w:p>
      <w:pPr>
        <w:spacing w:after="140"/>
      </w:pPr>
      <w:r>
        <w:t xml:space="preserve">The Sindane family have farmed in Mpumalanga for 60 years. Today a coal mine surrounds them, and they told Parliament the mine's waste water is poisoning the water their livestock drink. About 500 families face the same thing.</w:t>
      </w:r>
    </w:p>
    <w:p>
      <w:pPr>
        <w:pStyle w:val="Heading1"/>
      </w:pPr>
      <w:r>
        <w:t xml:space="preserve">Slide 2 — How it reaches rivers (25 seconds)</w:t>
      </w:r>
    </w:p>
    <w:p>
      <w:pPr>
        <w:spacing w:after="140"/>
      </w:pPr>
      <w:r>
        <w:t xml:space="preserve">Mines must store dirty water in dams. But a dam only stores water. It doesn't clean it.</w:t>
      </w:r>
    </w:p>
    <w:p>
      <w:pPr>
        <w:spacing w:after="140"/>
      </w:pPr>
      <w:r>
        <w:t xml:space="preserve">Eventually it leaves. Sometimes legally, like Seriti's Arnot Colliery. Sometimes not: Woestalleen Colliery is facing a criminal case for continued pollution.</w:t>
      </w:r>
    </w:p>
    <w:p>
      <w:pPr>
        <w:spacing w:after="140"/>
      </w:pPr>
      <w:r>
        <w:t xml:space="preserve">And sometimes it just gets out. February 2022, Thungela's Kromdraai mine. Treatment was overwhelmed, and 58 kilometres of river died in days. Two years later, 112 kilometres still had no fish.</w:t>
      </w:r>
    </w:p>
    <w:p>
      <w:pPr>
        <w:pStyle w:val="Heading1"/>
      </w:pPr>
      <w:r>
        <w:t xml:space="preserve">Slide 3 — The gap (20 seconds)</w:t>
      </w:r>
    </w:p>
    <w:p>
      <w:pPr>
        <w:spacing w:after="140"/>
      </w:pPr>
      <w:r>
        <w:t xml:space="preserve">This is what's leaving: pH below 3, that's vinegar, full of iron, aluminium and manganese.</w:t>
      </w:r>
    </w:p>
    <w:p>
      <w:pPr>
        <w:spacing w:after="140"/>
      </w:pPr>
      <w:r>
        <w:t xml:space="preserve">And here's the problem. A spill takes hours. A monthly test finds it weeks later. Nobody checks the water at the moment it leaves the mine.</w:t>
      </w:r>
    </w:p>
    <w:p>
      <w:pPr>
        <w:pStyle w:val="Heading1"/>
      </w:pPr>
      <w:r>
        <w:t xml:space="preserve">Slide 4 — The hook (20 seconds)</w:t>
      </w:r>
    </w:p>
    <w:p>
      <w:pPr>
        <w:spacing w:after="140"/>
      </w:pPr>
      <w:r>
        <w:t xml:space="preserve">What if the water was tested before it left the mine?</w:t>
      </w:r>
    </w:p>
    <w:p>
      <w:pPr>
        <w:spacing w:after="140"/>
      </w:pPr>
      <w:r>
        <w:t xml:space="preserve">What if the Sindane family knew their cattle's water is clean?</w:t>
      </w:r>
    </w:p>
    <w:p>
      <w:pPr>
        <w:spacing w:after="140"/>
      </w:pPr>
      <w:r>
        <w:t xml:space="preserve">What if every litre had to pass a test first?</w:t>
      </w:r>
    </w:p>
    <w:p>
      <w:pPr>
        <w:spacing w:after="140"/>
      </w:pPr>
      <w:r>
        <w:rPr>
          <w:b/>
          <w:bCs/>
        </w:rPr>
        <w:t xml:space="preserve">[PAUSE — two seconds]</w:t>
      </w:r>
    </w:p>
    <w:p>
      <w:pPr>
        <w:spacing w:after="140"/>
      </w:pPr>
      <w:r>
        <w:t xml:space="preserve">That's why we built Kusile WaterGuard.</w:t>
      </w:r>
    </w:p>
    <w:p>
      <w:pPr>
        <w:pStyle w:val="Heading1"/>
      </w:pPr>
      <w:r>
        <w:t xml:space="preserve">Slide 5 — The solution (20 seconds)</w:t>
      </w:r>
    </w:p>
    <w:p>
      <w:pPr>
        <w:spacing w:after="140"/>
      </w:pPr>
      <w:r>
        <w:t xml:space="preserve">It's a low-cost gate at the dam outlet. It tests every batch, releases only clean water, and holds back and treats the rest.</w:t>
      </w:r>
    </w:p>
    <w:p>
      <w:pPr>
        <w:spacing w:after="140"/>
      </w:pPr>
      <w:r>
        <w:t xml:space="preserve">For licensed releases, it's proof. For dirty water, it's a stop sign. No test, no release.</w:t>
      </w:r>
    </w:p>
    <w:p>
      <w:pPr>
        <w:pStyle w:val="Heading1"/>
      </w:pPr>
      <w:r>
        <w:t xml:space="preserve">Slide 6 — How it works (20 seconds)</w:t>
      </w:r>
    </w:p>
    <w:p>
      <w:pPr>
        <w:spacing w:after="140"/>
      </w:pPr>
      <w:r>
        <w:t xml:space="preserve">Five steps. Fill a batch. Test it. Decide: clean goes to the river, dirty goes to the treatment tank. Treat it. Release only once it passes again.</w:t>
      </w:r>
    </w:p>
    <w:p>
      <w:pPr>
        <w:spacing w:after="140"/>
      </w:pPr>
      <w:r>
        <w:t xml:space="preserve">And it fails safe: tank full, the batch waits. Neutraliser empty, nothing is released.</w:t>
      </w:r>
    </w:p>
    <w:p>
      <w:pPr>
        <w:pStyle w:val="Heading1"/>
      </w:pPr>
      <w:r>
        <w:t xml:space="preserve">Slide 7 — Commercialisation (15 seconds)</w:t>
      </w:r>
    </w:p>
    <w:p>
      <w:pPr>
        <w:spacing w:after="140"/>
      </w:pPr>
      <w:r>
        <w:t xml:space="preserve">One node costs about R21,000. A treatment plant costs R300 million. The Kromdraai clean-up cost a billion.</w:t>
      </w:r>
    </w:p>
    <w:p>
      <w:pPr>
        <w:spacing w:after="140"/>
      </w:pPr>
      <w:r>
        <w:t xml:space="preserve">Mines buy it for compliance. Municipalities buy it for early warning. Hardware once, monitoring monthly.</w:t>
      </w:r>
    </w:p>
    <w:p>
      <w:pPr>
        <w:spacing w:after="140"/>
      </w:pPr>
      <w:r>
        <w:t xml:space="preserve">A small gate at every dam outlet costs far less than one spill.</w:t>
      </w:r>
    </w:p>
    <w:p>
      <w:pPr>
        <w:pStyle w:val="Heading1"/>
      </w:pPr>
      <w:r>
        <w:t xml:space="preserve">Delivery notes</w:t>
      </w:r>
    </w:p>
    <w:p>
      <w:pPr>
        <w:pStyle w:val="ListParagraph"/>
        <w:numPr>
          <w:ilvl w:val="0"/>
          <w:numId w:val="2"/>
        </w:numPr>
        <w:spacing w:after="60"/>
      </w:pPr>
      <w:r>
        <w:t xml:space="preserve">Practise only the two pauses: after "Every day" on slide 1, and after the third "What if" on slide 4. Those two silences carry the whole pitch.</w:t>
      </w:r>
    </w:p>
    <w:p>
      <w:pPr>
        <w:pStyle w:val="ListParagraph"/>
        <w:numPr>
          <w:ilvl w:val="0"/>
          <w:numId w:val="2"/>
        </w:numPr>
        <w:spacing w:after="60"/>
      </w:pPr>
      <w:r>
        <w:t xml:space="preserve">If you run over, cut the Woestalleen sentence on slide 2 and the "fails safe" line on slide 6. That saves about 12 seconds without losing the story.</w:t>
      </w:r>
    </w:p>
    <w:p>
      <w:pPr>
        <w:pStyle w:val="ListParagraph"/>
        <w:numPr>
          <w:ilvl w:val="0"/>
          <w:numId w:val="2"/>
        </w:numPr>
        <w:spacing w:after="60"/>
      </w:pPr>
      <w:r>
        <w:t xml:space="preserve">If the demo is running on the table, point at it during slide 6 instead of describing it.</w:t>
      </w:r>
    </w:p>
    <w:p>
      <w:pPr>
        <w:pStyle w:val="ListParagraph"/>
        <w:numPr>
          <w:ilvl w:val="0"/>
          <w:numId w:val="2"/>
        </w:numPr>
        <w:spacing w:after="60"/>
      </w:pPr>
      <w:r>
        <w:t xml:space="preserve">Say the numbers slowly: 25 million, 112 kilometres, R1 billion. Rush the sentences around them if you must, never the numbers themselves.</w:t>
      </w:r>
    </w:p>
    <w:p>
      <w:pPr>
        <w:pStyle w:val="Heading1"/>
      </w:pPr>
      <w:r>
        <w:t xml:space="preserve">If the judges ask</w:t>
      </w:r>
    </w:p>
    <w:tbl>
      <w:tblPr>
        <w:tblW w:type="dxa" w:w="963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058"/>
        <w:gridCol w:w="5580"/>
      </w:tblGrid>
      <w:tr>
        <w:trPr>
          <w:tblHeader/>
        </w:trPr>
        <w:tc>
          <w:tcPr>
            <w:tcW w:type="dxa" w:w="4058"/>
            <w:tcBorders>
              <w:top w:val="single" w:color="B4B2A9" w:sz="4"/>
              <w:left w:val="single" w:color="B4B2A9" w:sz="4"/>
              <w:bottom w:val="single" w:color="B4B2A9" w:sz="4"/>
              <w:right w:val="single" w:color="B4B2A9" w:sz="4"/>
            </w:tcBorders>
            <w:shd w:fill="E6F1FB" w:color="auto" w:val="clear"/>
            <w:tcMar>
              <w:top w:type="dxa" w:w="60"/>
              <w:left w:type="dxa" w:w="100"/>
              <w:bottom w:type="dxa" w:w="60"/>
              <w:right w:type="dxa" w:w="100"/>
            </w:tcMar>
          </w:tcPr>
          <w:p>
            <w:pPr>
              <w:spacing w:after="0" w:before="0"/>
            </w:pPr>
            <w:r>
              <w:rPr>
                <w:b/>
                <w:bCs/>
                <w:color w:val="0C447C"/>
                <w:sz w:val="20"/>
                <w:szCs w:val="20"/>
              </w:rPr>
              <w:t xml:space="preserve">Question</w:t>
            </w:r>
          </w:p>
        </w:tc>
        <w:tc>
          <w:tcPr>
            <w:tcW w:type="dxa" w:w="5580"/>
            <w:tcBorders>
              <w:top w:val="single" w:color="B4B2A9" w:sz="4"/>
              <w:left w:val="single" w:color="B4B2A9" w:sz="4"/>
              <w:bottom w:val="single" w:color="B4B2A9" w:sz="4"/>
              <w:right w:val="single" w:color="B4B2A9" w:sz="4"/>
            </w:tcBorders>
            <w:shd w:fill="E6F1FB" w:color="auto" w:val="clear"/>
            <w:tcMar>
              <w:top w:type="dxa" w:w="60"/>
              <w:left w:type="dxa" w:w="100"/>
              <w:bottom w:type="dxa" w:w="60"/>
              <w:right w:type="dxa" w:w="100"/>
            </w:tcMar>
          </w:tcPr>
          <w:p>
            <w:pPr>
              <w:spacing w:after="0" w:before="0"/>
            </w:pPr>
            <w:r>
              <w:rPr>
                <w:b/>
                <w:bCs/>
                <w:color w:val="0C447C"/>
                <w:sz w:val="20"/>
                <w:szCs w:val="20"/>
              </w:rPr>
              <w:t xml:space="preserve">Short answer</w:t>
            </w:r>
          </w:p>
        </w:tc>
      </w:tr>
      <w:tr>
        <w:trPr>
          <w:tblHeader w:val="false"/>
        </w:trPr>
        <w:tc>
          <w:tcPr>
            <w:tcW w:type="dxa" w:w="4058"/>
            <w:tcBorders>
              <w:top w:val="single" w:color="B4B2A9" w:sz="4"/>
              <w:left w:val="single" w:color="B4B2A9" w:sz="4"/>
              <w:bottom w:val="single" w:color="B4B2A9" w:sz="4"/>
              <w:right w:val="single" w:color="B4B2A9" w:sz="4"/>
            </w:tcBorders>
            <w:tcMar>
              <w:top w:type="dxa" w:w="60"/>
              <w:left w:type="dxa" w:w="100"/>
              <w:bottom w:type="dxa" w:w="60"/>
              <w:right w:type="dxa" w:w="100"/>
            </w:tcMar>
          </w:tcPr>
          <w:p>
            <w:pPr>
              <w:spacing w:after="0" w:before="0"/>
            </w:pPr>
            <w:r>
              <w:rPr>
                <w:sz w:val="20"/>
                <w:szCs w:val="20"/>
              </w:rPr>
              <w:t xml:space="preserve">Mines already have dams, so why this?</w:t>
            </w:r>
          </w:p>
        </w:tc>
        <w:tc>
          <w:tcPr>
            <w:tcW w:type="dxa" w:w="5580"/>
            <w:tcBorders>
              <w:top w:val="single" w:color="B4B2A9" w:sz="4"/>
              <w:left w:val="single" w:color="B4B2A9" w:sz="4"/>
              <w:bottom w:val="single" w:color="B4B2A9" w:sz="4"/>
              <w:right w:val="single" w:color="B4B2A9" w:sz="4"/>
            </w:tcBorders>
            <w:tcMar>
              <w:top w:type="dxa" w:w="60"/>
              <w:left w:type="dxa" w:w="100"/>
              <w:bottom w:type="dxa" w:w="60"/>
              <w:right w:type="dxa" w:w="100"/>
            </w:tcMar>
          </w:tcPr>
          <w:p>
            <w:pPr>
              <w:spacing w:after="0" w:before="0"/>
            </w:pPr>
            <w:r>
              <w:rPr>
                <w:sz w:val="20"/>
                <w:szCs w:val="20"/>
              </w:rPr>
              <w:t xml:space="preserve">A dam stores water, it doesn't clean it. We test what leaves the dam.</w:t>
            </w:r>
          </w:p>
        </w:tc>
      </w:tr>
      <w:tr>
        <w:trPr>
          <w:tblHeader w:val="false"/>
        </w:trPr>
        <w:tc>
          <w:tcPr>
            <w:tcW w:type="dxa" w:w="4058"/>
            <w:tcBorders>
              <w:top w:val="single" w:color="B4B2A9" w:sz="4"/>
              <w:left w:val="single" w:color="B4B2A9" w:sz="4"/>
              <w:bottom w:val="single" w:color="B4B2A9" w:sz="4"/>
              <w:right w:val="single" w:color="B4B2A9" w:sz="4"/>
            </w:tcBorders>
            <w:tcMar>
              <w:top w:type="dxa" w:w="60"/>
              <w:left w:type="dxa" w:w="100"/>
              <w:bottom w:type="dxa" w:w="60"/>
              <w:right w:type="dxa" w:w="100"/>
            </w:tcMar>
          </w:tcPr>
          <w:p>
            <w:pPr>
              <w:spacing w:after="0" w:before="0"/>
            </w:pPr>
            <w:r>
              <w:rPr>
                <w:sz w:val="20"/>
                <w:szCs w:val="20"/>
              </w:rPr>
              <w:t xml:space="preserve">Dams still overflow in storms</w:t>
            </w:r>
          </w:p>
        </w:tc>
        <w:tc>
          <w:tcPr>
            <w:tcW w:type="dxa" w:w="5580"/>
            <w:tcBorders>
              <w:top w:val="single" w:color="B4B2A9" w:sz="4"/>
              <w:left w:val="single" w:color="B4B2A9" w:sz="4"/>
              <w:bottom w:val="single" w:color="B4B2A9" w:sz="4"/>
              <w:right w:val="single" w:color="B4B2A9" w:sz="4"/>
            </w:tcBorders>
            <w:tcMar>
              <w:top w:type="dxa" w:w="60"/>
              <w:left w:type="dxa" w:w="100"/>
              <w:bottom w:type="dxa" w:w="60"/>
              <w:right w:type="dxa" w:w="100"/>
            </w:tcMar>
          </w:tcPr>
          <w:p>
            <w:pPr>
              <w:spacing w:after="0" w:before="0"/>
            </w:pPr>
            <w:r>
              <w:rPr>
                <w:sz w:val="20"/>
                <w:szCs w:val="20"/>
              </w:rPr>
              <w:t xml:space="preserve">We can't stop the storm, but we keep the dam from being full when it arrives, and the alarm goes out in minutes, not weeks.</w:t>
            </w:r>
          </w:p>
        </w:tc>
      </w:tr>
      <w:tr>
        <w:trPr>
          <w:tblHeader w:val="false"/>
        </w:trPr>
        <w:tc>
          <w:tcPr>
            <w:tcW w:type="dxa" w:w="4058"/>
            <w:tcBorders>
              <w:top w:val="single" w:color="B4B2A9" w:sz="4"/>
              <w:left w:val="single" w:color="B4B2A9" w:sz="4"/>
              <w:bottom w:val="single" w:color="B4B2A9" w:sz="4"/>
              <w:right w:val="single" w:color="B4B2A9" w:sz="4"/>
            </w:tcBorders>
            <w:tcMar>
              <w:top w:type="dxa" w:w="60"/>
              <w:left w:type="dxa" w:w="100"/>
              <w:bottom w:type="dxa" w:w="60"/>
              <w:right w:type="dxa" w:w="100"/>
            </w:tcMar>
          </w:tcPr>
          <w:p>
            <w:pPr>
              <w:spacing w:after="0" w:before="0"/>
            </w:pPr>
            <w:r>
              <w:rPr>
                <w:sz w:val="20"/>
                <w:szCs w:val="20"/>
              </w:rPr>
              <w:t xml:space="preserve">Do mines really release water to rivers?</w:t>
            </w:r>
          </w:p>
        </w:tc>
        <w:tc>
          <w:tcPr>
            <w:tcW w:type="dxa" w:w="5580"/>
            <w:tcBorders>
              <w:top w:val="single" w:color="B4B2A9" w:sz="4"/>
              <w:left w:val="single" w:color="B4B2A9" w:sz="4"/>
              <w:bottom w:val="single" w:color="B4B2A9" w:sz="4"/>
              <w:right w:val="single" w:color="B4B2A9" w:sz="4"/>
            </w:tcBorders>
            <w:tcMar>
              <w:top w:type="dxa" w:w="60"/>
              <w:left w:type="dxa" w:w="100"/>
              <w:bottom w:type="dxa" w:w="60"/>
              <w:right w:type="dxa" w:w="100"/>
            </w:tcMar>
          </w:tcPr>
          <w:p>
            <w:pPr>
              <w:spacing w:after="0" w:before="0"/>
            </w:pPr>
            <w:r>
              <w:rPr>
                <w:sz w:val="20"/>
                <w:szCs w:val="20"/>
              </w:rPr>
              <w:t xml:space="preserve">Yes, some under licence after treatment, others through overflows, decanting and abandoned mines.</w:t>
            </w:r>
          </w:p>
        </w:tc>
      </w:tr>
      <w:tr>
        <w:trPr>
          <w:tblHeader w:val="false"/>
        </w:trPr>
        <w:tc>
          <w:tcPr>
            <w:tcW w:type="dxa" w:w="4058"/>
            <w:tcBorders>
              <w:top w:val="single" w:color="B4B2A9" w:sz="4"/>
              <w:left w:val="single" w:color="B4B2A9" w:sz="4"/>
              <w:bottom w:val="single" w:color="B4B2A9" w:sz="4"/>
              <w:right w:val="single" w:color="B4B2A9" w:sz="4"/>
            </w:tcBorders>
            <w:tcMar>
              <w:top w:type="dxa" w:w="60"/>
              <w:left w:type="dxa" w:w="100"/>
              <w:bottom w:type="dxa" w:w="60"/>
              <w:right w:type="dxa" w:w="100"/>
            </w:tcMar>
          </w:tcPr>
          <w:p>
            <w:pPr>
              <w:spacing w:after="0" w:before="0"/>
            </w:pPr>
            <w:r>
              <w:rPr>
                <w:sz w:val="20"/>
                <w:szCs w:val="20"/>
              </w:rPr>
              <w:t xml:space="preserve">Does it treat the water?</w:t>
            </w:r>
          </w:p>
        </w:tc>
        <w:tc>
          <w:tcPr>
            <w:tcW w:type="dxa" w:w="5580"/>
            <w:tcBorders>
              <w:top w:val="single" w:color="B4B2A9" w:sz="4"/>
              <w:left w:val="single" w:color="B4B2A9" w:sz="4"/>
              <w:bottom w:val="single" w:color="B4B2A9" w:sz="4"/>
              <w:right w:val="single" w:color="B4B2A9" w:sz="4"/>
            </w:tcBorders>
            <w:tcMar>
              <w:top w:type="dxa" w:w="60"/>
              <w:left w:type="dxa" w:w="100"/>
              <w:bottom w:type="dxa" w:w="60"/>
              <w:right w:type="dxa" w:w="100"/>
            </w:tcMar>
          </w:tcPr>
          <w:p>
            <w:pPr>
              <w:spacing w:after="0" w:before="0"/>
            </w:pPr>
            <w:r>
              <w:rPr>
                <w:sz w:val="20"/>
                <w:szCs w:val="20"/>
              </w:rPr>
              <w:t xml:space="preserve">It neutralises acidity on site. Water needing more than that is held and routed to full treatment, never to the river.</w:t>
            </w:r>
          </w:p>
        </w:tc>
      </w:tr>
      <w:tr>
        <w:trPr>
          <w:tblHeader w:val="false"/>
        </w:trPr>
        <w:tc>
          <w:tcPr>
            <w:tcW w:type="dxa" w:w="4058"/>
            <w:tcBorders>
              <w:top w:val="single" w:color="B4B2A9" w:sz="4"/>
              <w:left w:val="single" w:color="B4B2A9" w:sz="4"/>
              <w:bottom w:val="single" w:color="B4B2A9" w:sz="4"/>
              <w:right w:val="single" w:color="B4B2A9" w:sz="4"/>
            </w:tcBorders>
            <w:tcMar>
              <w:top w:type="dxa" w:w="60"/>
              <w:left w:type="dxa" w:w="100"/>
              <w:bottom w:type="dxa" w:w="60"/>
              <w:right w:type="dxa" w:w="100"/>
            </w:tcMar>
          </w:tcPr>
          <w:p>
            <w:pPr>
              <w:spacing w:after="0" w:before="0"/>
            </w:pPr>
            <w:r>
              <w:rPr>
                <w:sz w:val="20"/>
                <w:szCs w:val="20"/>
              </w:rPr>
              <w:t xml:space="preserve">How accurate is the prototype sensor?</w:t>
            </w:r>
          </w:p>
        </w:tc>
        <w:tc>
          <w:tcPr>
            <w:tcW w:type="dxa" w:w="5580"/>
            <w:tcBorders>
              <w:top w:val="single" w:color="B4B2A9" w:sz="4"/>
              <w:left w:val="single" w:color="B4B2A9" w:sz="4"/>
              <w:bottom w:val="single" w:color="B4B2A9" w:sz="4"/>
              <w:right w:val="single" w:color="B4B2A9" w:sz="4"/>
            </w:tcBorders>
            <w:tcMar>
              <w:top w:type="dxa" w:w="60"/>
              <w:left w:type="dxa" w:w="100"/>
              <w:bottom w:type="dxa" w:w="60"/>
              <w:right w:type="dxa" w:w="100"/>
            </w:tcMar>
          </w:tcPr>
          <w:p>
            <w:pPr>
              <w:spacing w:after="0" w:before="0"/>
            </w:pPr>
            <w:r>
              <w:rPr>
                <w:sz w:val="20"/>
                <w:szCs w:val="20"/>
              </w:rPr>
              <w:t xml:space="preserve">It detects contamination by conductivity, calibrated against clean and contaminated water. The field version adds a pH probe.</w:t>
            </w:r>
          </w:p>
        </w:tc>
      </w:tr>
    </w:tbl>
    <w:p>
      <w:pPr>
        <w:spacing w:after="12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780"/>
        <w:sz w:val="18"/>
        <w:szCs w:val="18"/>
      </w:rPr>
      <w:t xml:space="preserve">Kusile WaterGuard – 2-Minute Pitch Script  |  Page </w:t>
    </w:r>
    <w:r>
      <w:rPr>
        <w:color w:val="8887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1080" w:hanging="260"/>
      </w:pPr>
    </w:lvl>
  </w:abstractNum>
  <w:abstractNum w:abstractNumId="3" w15:restartNumberingAfterBreak="0">
    <w:multiLevelType w:val="hybridMultilevel"/>
    <w:lvl w:ilvl="0" w15:tentative="1">
      <w:start w:val="1"/>
      <w:numFmt w:val="decimal"/>
      <w:lvlText w:val="%1."/>
      <w:lvlJc w:val="left"/>
      <w:pPr>
        <w:ind w:left="360" w:hanging="360"/>
      </w:pPr>
    </w:lvl>
  </w:abstractNum>
  <w:abstractNum w:abstractNumId="4" w15:restartNumberingAfterBreak="0">
    <w:multiLevelType w:val="hybridMultilevel"/>
    <w:lvl w:ilvl="0" w15:tentative="1">
      <w:start w:val="1"/>
      <w:numFmt w:val="bullet"/>
      <w:lvlText w:val="☐"/>
      <w:lvlJc w:val="left"/>
      <w:pPr>
        <w:ind w:left="4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85FA5" w:sz="8" w:space="4"/>
      </w:pBdr>
      <w:spacing w:after="200" w:before="120"/>
      <w:outlineLvl w:val="0"/>
    </w:pPr>
    <w:rPr>
      <w:b/>
      <w:bCs/>
      <w:color w:val="0C447C"/>
      <w:sz w:val="34"/>
      <w:szCs w:val="34"/>
    </w:rPr>
  </w:style>
  <w:style w:type="paragraph" w:styleId="Heading2">
    <w:name w:val="Heading 2"/>
    <w:basedOn w:val="Normal"/>
    <w:next w:val="Normal"/>
    <w:qFormat/>
    <w:pPr>
      <w:keepNext/>
      <w:spacing w:after="120" w:before="260"/>
      <w:outlineLvl w:val="1"/>
    </w:pPr>
    <w:rPr>
      <w:b/>
      <w:bCs/>
      <w:color w:val="185FA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AMD Batch Water Treatment Node - Boot Camp Project Guide</dc:title>
  <dc:creator>Boot camp team</dc:creator>
  <cp:lastModifiedBy>Un-named</cp:lastModifiedBy>
  <cp:revision>1</cp:revision>
  <dcterms:created xsi:type="dcterms:W3CDTF">2026-09-17T20:19:33.986Z</dcterms:created>
  <dcterms:modified xsi:type="dcterms:W3CDTF">2026-09-17T20:19:33.995Z</dcterms:modified>
</cp:coreProperties>
</file>

<file path=docProps/custom.xml><?xml version="1.0" encoding="utf-8"?>
<Properties xmlns="http://schemas.openxmlformats.org/officeDocument/2006/custom-properties" xmlns:vt="http://schemas.openxmlformats.org/officeDocument/2006/docPropsVTypes"/>
</file>