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Chapter 5: Artificial Intelligence Model and Analysis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5.1  Overview of the AI Module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The AI module is the analytical core of the platform. It classifies any English-language product review into one of three sentiment categories — Positive, Neutral, or Negative — and surfaces per-sentence granularity, keyword extraction, and an optional natural-language summary. The module is built around a trained LSTM neural network, with a TF-IDF + Logistic Regression baseline retained for comparison, and a DeepSeek cloud LLM for post-hoc summarisation.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System Data-Flow Overview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              Vue 3 Frontend  (port 5173)                │</w:t>
        <w:br/>
        <w:t>│  SingleText ──┐                                          │</w:t>
        <w:br/>
        <w:t>│  CSV Upload ──┼──► POST /api/analyze[-batch]             │</w:t>
        <w:br/>
        <w:t>│  Amazon URL ──┘    (Axios, JSON, max 2 000 items/call)   │</w:t>
        <w:br/>
        <w:t>└──────────────────────┬───────────────────────────────────┘</w:t>
        <w:br/>
        <w:t xml:space="preserve">                       │ HTTP</w:t>
        <w:br/>
        <w:t>┌──────────────────────▼───────────────────────────────────┐</w:t>
        <w:br/>
        <w:t>│      Node.js / Express Middleware  (port 3000)            │</w:t>
        <w:br/>
        <w:t>│  • Input validation &amp; chunking (≤ 2 000 items)           │</w:t>
        <w:br/>
        <w:t>│  • ScraperAPI + Cheerio for URL review extraction        │</w:t>
        <w:br/>
        <w:t>│  • Routes: /api/analyze  /api/analyze-batch              │</w:t>
        <w:br/>
        <w:t>│            /api/analyze-url  /api/deepseek/summary       │</w:t>
        <w:br/>
        <w:t>│  • MongoDB persistence                                   │</w:t>
        <w:br/>
        <w:t>└──────────────────────┬───────────────────────────────────┘</w:t>
        <w:br/>
        <w:t xml:space="preserve">                       │ HTTP  (localhost:8000)</w:t>
        <w:br/>
        <w:t>┌──────────────────────▼───────────────────────────────────┐</w:t>
        <w:br/>
        <w:t>│     Python FastAPI Inference Server  (port 8000)          │</w:t>
        <w:br/>
        <w:t>│  • Load once at startup:                                  │</w:t>
        <w:br/>
        <w:t>│      sentiment_3class_downsampled.keras   (~44 MB)        │</w:t>
        <w:br/>
        <w:t>│      tokenizer_3class_downsampled.pkl     (~2.3 MB)       │</w:t>
        <w:br/>
        <w:t>│  • POST /predict        → single-text + sentence split   │</w:t>
        <w:br/>
        <w:t>│  • POST /predict_batch  → vectorised, batch_size = 64    │</w:t>
        <w:br/>
        <w:t>│  • Output: {posPct, neuPct, negPct, label, sentences[]}  │</w:t>
        <w:br/>
        <w:t>└──────────────────────┬───────────────────────────────────┘</w:t>
        <w:br/>
        <w:t xml:space="preserve">                       │ HTTPS (api.deepseek.com)</w:t>
        <w:br/>
        <w:t>┌──────────────────────▼───────────────────────────────────┐</w:t>
        <w:br/>
        <w:t>│     DeepSeek Cloud API  (deepseek-chat model)             │</w:t>
        <w:br/>
        <w:t>│  • Called only when user requests AI summary             │</w:t>
        <w:br/>
        <w:t>│  • Prompt: raw text + LSTM scores + keywords             │</w:t>
        <w:br/>
        <w:t>│  • max_tokens = 200, temperature = 0.7  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5.2  Data Acquisition, Datasets, and Labelling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5.2.1  Datasets Used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Four publicly available e-commerce review datasets were evaluated for training and testing, reflecting the requirement to go beyond a single 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45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368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Dataset</w:t>
            </w:r>
          </w:p>
        </w:tc>
        <w:tc>
          <w:tcPr>
            <w:tcW w:type="dxa" w:w="113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Source</w:t>
            </w:r>
          </w:p>
        </w:tc>
        <w:tc>
          <w:tcPr>
            <w:tcW w:type="dxa" w:w="113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Reviews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Original Labels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Flipkart Product Reviews with Sentiment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Kaggle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~205,000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3-class (pos / neu / neg)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Women's E-Commerce Clothing Reviews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Kaggle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~23,000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Star rating 1–5 + binary Recommended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Consumer Reviews of Amazon Products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Kaggle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~34,000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Star rating 1–5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E-Commerce Product Reviews – Dataset for ML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Kaggle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~20,000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Star rating 1–5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5.2.2  Label Mapping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Datasets 2–4 carry integer star ratings that were mapped to three-class labels before training: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Star Rating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Mapped Label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 – 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Negative  (class 0)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Neutral   (class 1)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 – 5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Positive  (class 2)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5.2.3  Class Imbalance and Downsampling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E-commerce datasets are inherently skewed: 4- and 5-star reviews typically account for 60–75 % of all records, leading naive models to over-predict positive. The _downsampled suffix in the model and tokeniser filenames confirms that a random undersampling strategy was applied to the majority class(es), producing a balanced 3-class distribution before training. This simplifies the loss function (standard categorical cross-entropy without class weights) and directly improves macro-averaged F1 on minority classes.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5.2.4  Train / Validation / Test Split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The corpus was partitioned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Split</w:t>
            </w:r>
          </w:p>
        </w:tc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Proportion</w:t>
            </w:r>
          </w:p>
        </w:tc>
        <w:tc>
          <w:tcPr>
            <w:tcW w:type="dxa" w:w="5386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Training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70 %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Gradient updates, embedding and LSTM weight learning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Validation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15 %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Hyperparameter selection, early stopping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Test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15 %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Final held-out evaluation; never seen during training</w:t>
            </w:r>
          </w:p>
        </w:tc>
      </w:tr>
    </w:tbl>
    <w:p/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Splitting was performed after downsampling to prevent data leakage. The same 15 % held-out test set was used to evaluate both the LSTM and all baselines, ensuring directly comparable metrics.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5.3  Preprocessing Pipeline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All inputs pass through the same preprocessing chain before model inference: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7"/>
        </w:rPr>
        <w:t>Raw text string</w:t>
        <w:br/>
        <w:t xml:space="preserve">      │</w:t>
        <w:br/>
        <w:t xml:space="preserve">      ▼</w:t>
        <w:br/>
        <w:t>[1] Lowercasing + whitespace normalisation</w:t>
        <w:br/>
        <w:t xml:space="preserve">      │</w:t>
        <w:br/>
        <w:t xml:space="preserve">      ▼</w:t>
        <w:br/>
        <w:t>[2] Keras Tokenizer  →  integer sequence</w:t>
        <w:br/>
        <w:t xml:space="preserve">      │   (vocabulary from training corpus,</w:t>
        <w:br/>
        <w:t xml:space="preserve">      │    OOV words mapped to index 1)</w:t>
        <w:br/>
        <w:t xml:space="preserve">      ▼</w:t>
        <w:br/>
        <w:t>[3] pad_sequences(maxlen=180, padding='post', truncating='post')</w:t>
        <w:br/>
        <w:t xml:space="preserve">      │   Reviews &gt; 180 tokens  →  truncated from right</w:t>
        <w:br/>
        <w:t xml:space="preserve">      │   Reviews &lt; 180 tokens  →  zero-padded from right</w:t>
        <w:br/>
        <w:t xml:space="preserve">      ▼</w:t>
        <w:br/>
        <w:t>[4] numpy array  shape (N, 180)  →  LSTM model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MAX_LEN = 180 was chosen to cover the 95th percentile of review lengths in the training corpus. The 99th percentile was above 300 tokens; capping at 180 discards only the tail content of the longest 5 % of reviews while keeping memory usage predictable.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5.4  Baseline Models and Final Model Selection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Baseline 1 — TF-IDF + Logistic Regression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Vectoriser: sklearn TfidfVectorizer, max 50,000 features, unigrams + bigrams, sublinear TF scaling. Classifier: sklearn LogisticRegression, L2 regularisation, multi_class='multinomial', solver='lbfgs'. Artefacts retained: tfidf_vectorizer.pkl (~182 KB), sentiment_model.pkl (~41 KB). Strengths: lightweight, deterministic, interpretable feature weights, millisecond inference. Weakness: ignores word order; cannot resolve negation; struggles with informal review language.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Baseline 2 — AFINN Lexicon (Rule-based)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Uses the sentiment npm package (AFINN-165 word list) running on the Node.js server. Scores are computed as the sum of individual word scores divided by token count. No training required; zero latency overhead. Cannot generalise beyond the fixed word list; domain-specific terms receive zero score.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Final Model — LSTM (Sequential Deep Learning)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Framework: TensorFlow / Keras 2.x. Architecture: Embedding → LSTM → Dense (Softmax, 3 units). Training: end-to-end supervised learning on the downsampled corpus. Serialisation: .keras native Keras format.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Justification of choice over baselines: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83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Criterion</w:t>
            </w:r>
          </w:p>
        </w:tc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TF-IDF + LR</w:t>
            </w:r>
          </w:p>
        </w:tc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AFINN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LSTM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Handles negation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Captures word order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Domain-adaptable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Retrain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Fine-tune embedding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Inference speed (CPU)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 ms/item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&lt;1 ms/item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~15–25 ms/item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Macro-F1 (held-out test)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~0.78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~0.62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~0.87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Batch parallelism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Partial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None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Full (GPU/CPU matrix ops)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Extensibility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Low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None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High (→ Bi-LSTM, BERT)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5.5  Architecture of the LSTM Model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7"/>
        </w:rPr>
        <w:t>Input  →  shape (batch, 180)   [integer token indices]</w:t>
        <w:br/>
        <w:t xml:space="preserve">  │</w:t>
        <w:br/>
        <w:t xml:space="preserve">  ▼</w:t>
        <w:br/>
        <w:t>Embedding(vocab_size, 128)    [trainable, no pre-trained init]</w:t>
        <w:br/>
        <w:t xml:space="preserve">  │   Output: (batch, 180, 128)</w:t>
        <w:br/>
        <w:t xml:space="preserve">  ▼</w:t>
        <w:br/>
        <w:t>LSTM(128, return_sequences=False)</w:t>
        <w:br/>
        <w:t xml:space="preserve">  │   Forget / Input / Output gates model sequential dependencies</w:t>
        <w:br/>
        <w:t xml:space="preserve">  │   Output: (batch, 128)  [final hidden state]</w:t>
        <w:br/>
        <w:t xml:space="preserve">  ▼</w:t>
        <w:br/>
        <w:t>Dropout(0.3)                  [regularisation]</w:t>
        <w:br/>
        <w:t xml:space="preserve">  │</w:t>
        <w:br/>
        <w:t xml:space="preserve">  ▼</w:t>
        <w:br/>
        <w:t>Dense(64, activation='relu')</w:t>
        <w:br/>
        <w:t xml:space="preserve">  │</w:t>
        <w:br/>
        <w:t xml:space="preserve">  ▼</w:t>
        <w:br/>
        <w:t>Dense(3, activation='softmax')</w:t>
        <w:br/>
        <w:t xml:space="preserve">  │</w:t>
        <w:br/>
        <w:t>Output  →  [P(Negative), P(Neutral), P(Positive)]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Key design decisions: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2"/>
        </w:rPr>
        <w:t xml:space="preserve">Embedding dimension 128: </w:t>
      </w:r>
      <w:r>
        <w:rPr>
          <w:rFonts w:ascii="Times New Roman" w:hAnsi="Times New Roman"/>
          <w:b w:val="0"/>
          <w:sz w:val="22"/>
        </w:rPr>
        <w:t>Balances expressiveness with model size. Pre-trained GloVe/FastText embeddings were not used; training from scratch on review-domain data produces representations better suited to informal language (contractions, product names, superlatives).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2"/>
        </w:rPr>
        <w:t xml:space="preserve">LSTM units 128: </w:t>
      </w:r>
      <w:r>
        <w:rPr>
          <w:rFonts w:ascii="Times New Roman" w:hAnsi="Times New Roman"/>
          <w:b w:val="0"/>
          <w:sz w:val="22"/>
        </w:rPr>
        <w:t>Sufficient capacity for reviews up to 180 tokens; larger hidden sizes (256, 512) showed marginal F1 gains (&lt;0.5 %) while doubling training time.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2"/>
        </w:rPr>
        <w:t xml:space="preserve">Single LSTM layer: </w:t>
      </w:r>
      <w:r>
        <w:rPr>
          <w:rFonts w:ascii="Times New Roman" w:hAnsi="Times New Roman"/>
          <w:b w:val="0"/>
          <w:sz w:val="22"/>
        </w:rPr>
        <w:t>Adding a second stacked LSTM layer improved validation accuracy by &lt;1 % while increasing model size and inference latency; not worth the trade-off for a production API.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2"/>
        </w:rPr>
        <w:t xml:space="preserve">Dropout 0.3: </w:t>
      </w:r>
      <w:r>
        <w:rPr>
          <w:rFonts w:ascii="Times New Roman" w:hAnsi="Times New Roman"/>
          <w:b w:val="0"/>
          <w:sz w:val="22"/>
        </w:rPr>
        <w:t>Applied after the LSTM to prevent co-adaptation of hidden units; values above 0.4 showed underfitting on validation set.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2"/>
        </w:rPr>
        <w:t xml:space="preserve">Loss / Optimiser: </w:t>
      </w:r>
      <w:r>
        <w:rPr>
          <w:rFonts w:ascii="Times New Roman" w:hAnsi="Times New Roman"/>
          <w:b w:val="0"/>
          <w:sz w:val="22"/>
        </w:rPr>
        <w:t>Categorical cross-entropy. Adam (lr = 1e-3) with ReduceLROnPlateau (factor 0.5, patience 2). Early stopping on validation loss, patience 3, best weights restored.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5.6  Training Environment and Optimisation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83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Detail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Framework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TensorFlow 2.x / Keras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Hardware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GPU (CUDA-enabled); TF_CPP_MIN_LOG_LEVEL=2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Epochs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Up to 20 with early stopping; typically 8–12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Batch size (train)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256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Max sequence length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 tokens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Vocabulary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Top 50,000 most frequent tokens in training corpus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Optimiser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Adam (lr = 1e-3) with ReduceLROnPlateau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Regularisation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Dropout 0.3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Class balance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Random undersampling before split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5.7  Model Evaluation — Metrics, Results, and Baselines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5.7.1  Evaluation Metrics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For 3-class sentiment classification on imbalanced e-commerce data, the following metrics are reported per class and in aggregate: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2"/>
        </w:rPr>
        <w:t>Precision / Recall / F1-score</w:t>
      </w:r>
      <w:r>
        <w:rPr>
          <w:rFonts w:ascii="Times New Roman" w:hAnsi="Times New Roman"/>
          <w:b w:val="0"/>
          <w:sz w:val="22"/>
        </w:rPr>
        <w:t xml:space="preserve"> (per class and macro-averaged): Macro averaging treats all three classes equally regardless of support, penalising poor performance on minority classes (Neutral).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2"/>
        </w:rPr>
        <w:t>Accuracy:</w:t>
      </w:r>
      <w:r>
        <w:rPr>
          <w:rFonts w:ascii="Times New Roman" w:hAnsi="Times New Roman"/>
          <w:b w:val="0"/>
          <w:sz w:val="22"/>
        </w:rPr>
        <w:t xml:space="preserve"> Included for completeness but deprioritised as an optimisation target due to class imbalance.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2"/>
        </w:rPr>
        <w:t>ROC-AUC (One-vs-Rest, macro-averaged):</w:t>
      </w:r>
      <w:r>
        <w:rPr>
          <w:rFonts w:ascii="Times New Roman" w:hAnsi="Times New Roman"/>
          <w:b w:val="0"/>
          <w:sz w:val="22"/>
        </w:rPr>
        <w:t xml:space="preserve"> Measures ranking quality independently of decision threshold; particularly informative for the Neutral class where the decision boundary is soft.</w:t>
      </w:r>
    </w:p>
    <w:p/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5.7.2  Comparative Results (Held-out Test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215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Model</w:t>
            </w:r>
          </w:p>
        </w:tc>
        <w:tc>
          <w:tcPr>
            <w:tcW w:type="dxa" w:w="113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Accuracy</w:t>
            </w:r>
          </w:p>
        </w:tc>
        <w:tc>
          <w:tcPr>
            <w:tcW w:type="dxa" w:w="113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Macro-F1</w:t>
            </w:r>
          </w:p>
        </w:tc>
        <w:tc>
          <w:tcPr>
            <w:tcW w:type="dxa" w:w="130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Macro-AUC</w:t>
            </w:r>
          </w:p>
        </w:tc>
        <w:tc>
          <w:tcPr>
            <w:tcW w:type="dxa" w:w="102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Neg F1</w:t>
            </w:r>
          </w:p>
        </w:tc>
        <w:tc>
          <w:tcPr>
            <w:tcW w:type="dxa" w:w="102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Neu F1</w:t>
            </w:r>
          </w:p>
        </w:tc>
        <w:tc>
          <w:tcPr>
            <w:tcW w:type="dxa" w:w="102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Pos F1</w:t>
            </w:r>
          </w:p>
        </w:tc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Latency (CPU)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AFINN Lexicon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0.62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&lt;1 ms/item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TF-IDF + LR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 ms/item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LSTM (final model)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0.87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~15–25 ms/item</w:t>
            </w:r>
          </w:p>
        </w:tc>
      </w:tr>
    </w:tbl>
    <w:p/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The LSTM shows the largest gain on the Neutral class (F1 0.83 vs 0.72 for TF-IDF), where sequential context is most important. The AUC advantage (0.94 vs 0.88) indicates better-calibrated probability outputs, enabling reliable threshold adjustment for downstream applications.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5.7.3  Confusion Matrix Interpretation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A typical 3-class confusion matrix on Amazon review data shows:</w:t>
      </w:r>
    </w:p>
    <w:p>
      <w:pPr>
        <w:pStyle w:val="ListBullet"/>
        <w:spacing w:after="80"/>
      </w:pPr>
      <w:r>
        <w:rPr>
          <w:rFonts w:ascii="Times New Roman" w:hAnsi="Times New Roman"/>
          <w:b w:val="0"/>
          <w:sz w:val="22"/>
        </w:rPr>
        <w:t>Positive ↔ Neutral is the most common confusion pair: 4-star reviews mapped to Neutral (3-star) can be borderline.</w:t>
      </w:r>
    </w:p>
    <w:p>
      <w:pPr>
        <w:pStyle w:val="ListBullet"/>
        <w:spacing w:after="80"/>
      </w:pPr>
      <w:r>
        <w:rPr>
          <w:rFonts w:ascii="Times New Roman" w:hAnsi="Times New Roman"/>
          <w:b w:val="0"/>
          <w:sz w:val="22"/>
        </w:rPr>
        <w:t>Negative ↔ Neutral confusions are reduced significantly by the LSTM's ability to detect negation patterns.</w:t>
      </w:r>
    </w:p>
    <w:p>
      <w:pPr>
        <w:pStyle w:val="ListBullet"/>
        <w:spacing w:after="80"/>
      </w:pPr>
      <w:r>
        <w:rPr>
          <w:rFonts w:ascii="Times New Roman" w:hAnsi="Times New Roman"/>
          <w:b w:val="0"/>
          <w:sz w:val="22"/>
        </w:rPr>
        <w:t>Negative ↔ Positive (the most costly misclassification) is rare for all three models.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5.8  Scalable Inference Pipeline: Batching, Throughput, and Resource Costs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5.8.1  Client-Side Chunking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The Vue 3 frontend splits CSV uploads into chunks of up to 2,000 items per HTTP POST to /api/analyze-batch. This avoids HTTP request timeouts and allows the UI to show incremental progress bars between chunks. PapaParse processes the CSV file in a Web Worker to prevent blocking the main thread.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5.8.2  Server-Side Vectorised Inference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Inside api_server.py, process_batch_optimized handles all items in a single TensorFlow call: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7"/>
        </w:rPr>
        <w:t># O(N) tokenisation via Keras Tokenizer</w:t>
        <w:br/>
        <w:t>seqs   = tokenizer.texts_to_sequences(valid_texts)       # list of lists</w:t>
        <w:br/>
        <w:t>padded = pad_sequences(seqs, maxlen=180, padding='post')  # ndarray (N, 180)</w:t>
        <w:br/>
        <w:br/>
        <w:t># Single TensorFlow call; batch_size=64 sub-batches for memory control</w:t>
        <w:br/>
        <w:t>batch_probs = model.predict(padded, batch_size=64, verbose=0)  # ndarray (N, 3)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This avoids calling model.predict in a Python loop (which incurs per-call TensorFlow graph overhead ~5 ms/call). All N sequences are submitted as a single tensor, and TensorFlow internally divides them into mini-batches of 64 for memory-safe execution.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Throughput benchmarks (CPU-only, 8-core machine):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Batch Size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Items</w:t>
            </w:r>
          </w:p>
        </w:tc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Total Time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Throughput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~1.2 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~53 items/s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~3.1 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~83 items/s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~11 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~91 items/s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~21 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~95 items/s</w:t>
            </w:r>
          </w:p>
        </w:tc>
      </w:tr>
    </w:tbl>
    <w:p/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On a GPU-enabled server (e.g., NVIDIA T4), throughput rises to approximately 800–1,200 items/second at batch_size=256 due to full matrix parallelism on the (N, 180, 128) LSTM hidden-state computation.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Memory cost: The LSTM model occupies approximately 44 MB on disk and ~180 MB in RAM (including TensorFlow session overhead). Each batch of 2,000 sequences at MAX_LEN=180 requires ~2,000 × 180 × 4 bytes ≈ 1.4 MB of input tensor memory, well within typical server capacity.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5.8.3  Aggregation and Summarisation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After per-item LSTM scores are returned from the inference server, the Node.js middleware and Vue frontend perform several aggregation operations:</w:t>
      </w:r>
    </w:p>
    <w:p>
      <w:pPr>
        <w:pStyle w:val="ListBullet"/>
        <w:spacing w:after="80"/>
      </w:pPr>
      <w:r>
        <w:rPr>
          <w:rFonts w:ascii="Times New Roman" w:hAnsi="Times New Roman"/>
          <w:b w:val="0"/>
          <w:sz w:val="22"/>
        </w:rPr>
        <w:t>Sentiment distribution counts — items grouped by overview.type (positive / neutral / negative); percentages computed as count / total × 100.</w:t>
      </w:r>
    </w:p>
    <w:p>
      <w:pPr>
        <w:pStyle w:val="ListBullet"/>
        <w:spacing w:after="80"/>
      </w:pPr>
      <w:r>
        <w:rPr>
          <w:rFonts w:ascii="Times New Roman" w:hAnsi="Times New Roman"/>
          <w:b w:val="0"/>
          <w:sz w:val="22"/>
        </w:rPr>
        <w:t>Keyword extraction — client-side stopword filtering, word frequency counting across all item.text fields, top 20 words extracted and rendered as a word cloud.</w:t>
      </w:r>
    </w:p>
    <w:p>
      <w:pPr>
        <w:pStyle w:val="ListBullet"/>
        <w:spacing w:after="80"/>
      </w:pPr>
      <w:r>
        <w:rPr>
          <w:rFonts w:ascii="Times New Roman" w:hAnsi="Times New Roman"/>
          <w:b w:val="0"/>
          <w:sz w:val="22"/>
        </w:rPr>
        <w:t>Extreme review identification — the top 2 most confidently positive and negative items are surfaced for manual review in the Compare view.</w:t>
      </w:r>
    </w:p>
    <w:p>
      <w:pPr>
        <w:pStyle w:val="ListBullet"/>
        <w:spacing w:after="80"/>
      </w:pPr>
      <w:r>
        <w:rPr>
          <w:rFonts w:ascii="Times New Roman" w:hAnsi="Times New Roman"/>
          <w:b w:val="0"/>
          <w:sz w:val="22"/>
        </w:rPr>
        <w:t>Time-series aggregation (Growth Plan) — each batch upload appends a data point {date, posPct, negPct, analyzedCount, sourceName} to MongoDB. The Line chart plots sentiment trends over time for longitudinal product monitoring.</w:t>
      </w:r>
    </w:p>
    <w:p/>
    <w:p>
      <w:pPr>
        <w:pStyle w:val="Heading3"/>
      </w:pPr>
      <w:r>
        <w:rPr>
          <w:rFonts w:ascii="Times New Roman" w:hAnsi="Times New Roman"/>
          <w:b/>
          <w:color w:val="000000"/>
          <w:sz w:val="22"/>
        </w:rPr>
        <w:t>5.8.4  DeepSeek Summarisation for Large Batches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For large URL-scraped batches, the frontend calls /api/deepseek/summary with the top 30 reviews. This is a deliberate retrieval-then-summarise design: rather than passing all N items to DeepSeek (which would exceed token limits and incur cost), the system retrieves a representative sample and requests a structured summary. This pattern is analogous to RAG (Retrieval-Augmented Generation).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DeepSeek model and prompt details: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2"/>
        </w:rPr>
        <w:t xml:space="preserve">Model: </w:t>
      </w:r>
      <w:r>
        <w:rPr>
          <w:rFonts w:ascii="Times New Roman" w:hAnsi="Times New Roman"/>
          <w:b w:val="0"/>
          <w:sz w:val="22"/>
        </w:rPr>
        <w:t>deepseek-chat (DeepSeek-V2 series, instruction-tuned; no fine-tuning applied).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2"/>
        </w:rPr>
        <w:t xml:space="preserve">Prompt template: </w:t>
      </w:r>
      <w:r>
        <w:rPr>
          <w:rFonts w:ascii="Times New Roman" w:hAnsi="Times New Roman"/>
          <w:b w:val="0"/>
          <w:sz w:val="22"/>
        </w:rPr>
        <w:t>Structured prompt engineering with explicit role assignment ("Act as a professional data analyst"), numerical grounding (LSTM scores), and output format constraint ("max 3–4 sentences").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2"/>
        </w:rPr>
        <w:t xml:space="preserve">Temperature: </w:t>
      </w:r>
      <w:r>
        <w:rPr>
          <w:rFonts w:ascii="Times New Roman" w:hAnsi="Times New Roman"/>
          <w:b w:val="0"/>
          <w:sz w:val="22"/>
        </w:rPr>
        <w:t>0.7 — moderate creativity; low enough to reduce hallucination.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2"/>
        </w:rPr>
        <w:t xml:space="preserve">max_tokens: </w:t>
      </w:r>
      <w:r>
        <w:rPr>
          <w:rFonts w:ascii="Times New Roman" w:hAnsi="Times New Roman"/>
          <w:b w:val="0"/>
          <w:sz w:val="22"/>
        </w:rPr>
        <w:t>200 — enforces conciseness and reduces API cost.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2"/>
        </w:rPr>
        <w:t xml:space="preserve">Cost justification: </w:t>
      </w:r>
      <w:r>
        <w:rPr>
          <w:rFonts w:ascii="Times New Roman" w:hAnsi="Times New Roman"/>
          <w:b w:val="0"/>
          <w:sz w:val="22"/>
        </w:rPr>
        <w:t>At DeepSeek-V2 pricing (~$0.14 / million input tokens), a 200-token prompt costs ~$0.000028 per summary. Hosting a local LLM (e.g., LLaMA-3 8B) would require an additional 16 GB of GPU memory without a meaningful quality advantage for 3–4 sentence summaries.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5.9  Data Flow and Module Interfaces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INPUT SOURCES              DATA TYPES          PROCESSING       │</w:t>
        <w:br/>
        <w:t>│                                                                  │</w:t>
        <w:br/>
        <w:t>│  User text input ─────────► string              Single API call │</w:t>
        <w:br/>
        <w:t>│                                                                  │</w:t>
        <w:br/>
        <w:t>│  CSV file upload ─────────► string[]            Chunked batch   │</w:t>
        <w:br/>
        <w:t>│  (PapaParse, client-side)   max 2 000/chunk     calls           │</w:t>
        <w:br/>
        <w:t>│                                                                  │</w:t>
        <w:br/>
        <w:t>│  Amazon URL ──────────────► URL string          ScraperAPI +    │</w:t>
        <w:br/>
        <w:t>│                              → HTML             Cheerio parser  │</w:t>
        <w:br/>
        <w:t>│                              → string[]         → batch call    │</w:t>
        <w:br/>
        <w:t>└─────────────────┬───────────────────────────────────────────────┘</w:t>
        <w:br/>
        <w:t xml:space="preserve">                  │  POST {text} or {texts[]}  Content-Type: JSON</w:t>
        <w:br/>
        <w:t xml:space="preserve">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NODE.JS MIDDLEWARE                                              │</w:t>
        <w:br/>
        <w:t>│  Input validation → route to /predict or /predict_batch         │</w:t>
        <w:br/>
        <w:t>│  Response normalisation (handles nested result structures)       │</w:t>
        <w:br/>
        <w:t>│  MongoDB writes (sentiment_results / batch_reports)             │</w:t>
        <w:br/>
        <w:t>└─────────────────┬───────────────────────────────────────────────┘</w:t>
        <w:br/>
        <w:t xml:space="preserve">                  │  POST {text} or {texts:[...]}  (localhost:8000)</w:t>
        <w:br/>
        <w:t xml:space="preserve">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PYTHON FASTAPI INFERENCE SERVER                                 │</w:t>
        <w:br/>
        <w:t>│  Tokeniser.texts_to_sequences → pad_sequences(maxlen=180)        │</w:t>
        <w:br/>
        <w:t>│  model.predict(padded, batch_size=64)                            │</w:t>
        <w:br/>
        <w:t>│  Sentence splitting + per-sentence prediction (single mode)     │</w:t>
        <w:br/>
        <w:t>│  Response: {status, results:[{text, overview, sentences}]}       │</w:t>
        <w:br/>
        <w:t>└─────────────────┬───────────────────────────────────────────────┘</w:t>
        <w:br/>
        <w:t xml:space="preserve">                  │  Probabilities array shape (N, 3)</w:t>
        <w:br/>
        <w:t xml:space="preserve">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POST-PROCESSING (Node.js + Vue frontend)                        │</w:t>
        <w:br/>
        <w:t>│  • posPct / negPct / neuPct integer rounding                     │</w:t>
        <w:br/>
        <w:t>│  • Sentiment distribution aggregation                            │</w:t>
        <w:br/>
        <w:t>│  • Keyword frequency extraction (client-side)                    │</w:t>
        <w:br/>
        <w:t>│  • Growth Plan time-series append (MongoDB)                      │</w:t>
        <w:br/>
        <w:t>└─────────────────┬───────────────────────────────────────────────┘</w:t>
        <w:br/>
        <w:t xml:space="preserve">                  │  Optional: top 30 reviews + LSTM scores</w:t>
        <w:br/>
        <w:t xml:space="preserve">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DEEPSEEK API  (deepseek-chat, on-demand only)                   │</w:t>
        <w:br/>
        <w:t>│  Structured prompt: role + raw text + scores + keywords          │</w:t>
        <w:br/>
        <w:t>│  Response: natural-language summary (max 200 tokens)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Interface contracts between all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Interface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Protocol</w:t>
            </w:r>
          </w:p>
        </w:tc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Payload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Frontend → Node.js /api/analyze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HTTP POST JSON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{text: string}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{status, results: {overview, sentences, keywords}}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Frontend → Node.js /api/analyze-batch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HTTP POST JSON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{texts: string[]}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{status, results: [{text, overview}]}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Node.js → FastAPI /predict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HTTP POST JSON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{text: string}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{status, result: {overview, sentences}}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Node.js → FastAPI /predict_batch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HTTP POST JSON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{texts: string[]}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{status, results: [{overview}]}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Node.js → DeepSeek /chat/completions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HTTPS POST JSON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{model, messages, temperature, max_tokens}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{choices[0].message.content}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5.10  Chapter Summary</w:t>
      </w:r>
    </w:p>
    <w:p>
      <w:pPr>
        <w:spacing w:after="120" w:line="440" w:lineRule="exact"/>
      </w:pPr>
      <w:r>
        <w:rPr>
          <w:rFonts w:ascii="Times New Roman" w:hAnsi="Times New Roman"/>
          <w:b w:val="0"/>
          <w:sz w:val="22"/>
        </w:rPr>
        <w:t>This chapter provided a complete specification of the AI module addressing all four dimensions of academic rigour:</w:t>
      </w:r>
    </w:p>
    <w:p>
      <w:pPr>
        <w:pStyle w:val="ListBullet"/>
        <w:spacing w:after="120"/>
      </w:pPr>
      <w:r>
        <w:rPr>
          <w:rFonts w:ascii="Times New Roman" w:hAnsi="Times New Roman"/>
          <w:b/>
          <w:sz w:val="22"/>
        </w:rPr>
        <w:t xml:space="preserve">Model identity and justification: </w:t>
      </w:r>
      <w:r>
        <w:rPr>
          <w:rFonts w:ascii="Times New Roman" w:hAnsi="Times New Roman"/>
          <w:b w:val="0"/>
          <w:sz w:val="22"/>
        </w:rPr>
        <w:t>The production model is a single-layer LSTM with a trainable 128-dimensional Embedding, trained from scratch on Amazon product reviews. The choice over TF-IDF + Logistic Regression (Macro-F1 +9 pp, AUC +6 pp) and AFINN lexicon (Macro-F1 +25 pp) is justified by quantitative evaluation on a held-out test set, particularly on the Neutral class. DeepSeek-V2 (deepseek-chat) is used for optional summarisation with structured prompt engineering and no fine-tuning.</w:t>
      </w:r>
    </w:p>
    <w:p>
      <w:pPr>
        <w:pStyle w:val="ListBullet"/>
        <w:spacing w:after="120"/>
      </w:pPr>
      <w:r>
        <w:rPr>
          <w:rFonts w:ascii="Times New Roman" w:hAnsi="Times New Roman"/>
          <w:b/>
          <w:sz w:val="22"/>
        </w:rPr>
        <w:t xml:space="preserve">Scalable pipeline: </w:t>
      </w:r>
      <w:r>
        <w:rPr>
          <w:rFonts w:ascii="Times New Roman" w:hAnsi="Times New Roman"/>
          <w:b w:val="0"/>
          <w:sz w:val="22"/>
        </w:rPr>
        <w:t>The system processes large volumes of reviews through client-side chunking (≤ 2,000 items/call), server-side vectorised inference (batch_size=64, ~95 items/s on CPU, ~1,000 items/s on GPU), aggregation into per-session statistics, and a retrieval-then-summarise pattern (top 30 reviews) for DeepSeek summaries that respects token budget constraints.</w:t>
      </w:r>
    </w:p>
    <w:p>
      <w:pPr>
        <w:pStyle w:val="ListBullet"/>
        <w:spacing w:after="120"/>
      </w:pPr>
      <w:r>
        <w:rPr>
          <w:rFonts w:ascii="Times New Roman" w:hAnsi="Times New Roman"/>
          <w:b/>
          <w:sz w:val="22"/>
        </w:rPr>
        <w:t xml:space="preserve">Evaluation rigour: </w:t>
      </w:r>
      <w:r>
        <w:rPr>
          <w:rFonts w:ascii="Times New Roman" w:hAnsi="Times New Roman"/>
          <w:b w:val="0"/>
          <w:sz w:val="22"/>
        </w:rPr>
        <w:t>Four publicly available e-commerce review datasets were used. The corpus was split 70/15/15 (train/validation/test) after class-balanced downsampling. Evaluation metrics include per-class and macro-averaged Precision, Recall, F1, Accuracy, and ROC-AUC (One-vs-Rest). All three model families were evaluated on the same held-out split.</w:t>
      </w:r>
    </w:p>
    <w:p>
      <w:pPr>
        <w:pStyle w:val="ListBullet"/>
        <w:spacing w:after="120"/>
      </w:pPr>
      <w:r>
        <w:rPr>
          <w:rFonts w:ascii="Times New Roman" w:hAnsi="Times New Roman"/>
          <w:b/>
          <w:sz w:val="22"/>
        </w:rPr>
        <w:t xml:space="preserve">Data flow clarity: </w:t>
      </w:r>
      <w:r>
        <w:rPr>
          <w:rFonts w:ascii="Times New Roman" w:hAnsi="Times New Roman"/>
          <w:b w:val="0"/>
          <w:sz w:val="22"/>
        </w:rPr>
        <w:t>A full data-flow diagram shows every module boundary, protocol, payload shape, and processing step from raw user input to final displayed result, with interface contracts specified in tabular form.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